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0D484" w14:textId="048D3BCA" w:rsidR="00210CAA" w:rsidRDefault="00210CAA"/>
    <w:p w14:paraId="393B69F5" w14:textId="790DA351" w:rsidR="00976FE8" w:rsidRDefault="00976FE8"/>
    <w:p w14:paraId="1B3F4C78" w14:textId="77777777" w:rsidR="00976FE8" w:rsidRDefault="00976FE8"/>
    <w:p w14:paraId="75ADD81F" w14:textId="4A52BC16" w:rsidR="00976FE8" w:rsidRDefault="00EE7D1A" w:rsidP="00976FE8">
      <w:pPr>
        <w:pStyle w:val="Title"/>
      </w:pPr>
      <w:r>
        <w:t xml:space="preserve">Clinical </w:t>
      </w:r>
      <w:r w:rsidR="00680534">
        <w:t>Literature Review</w:t>
      </w:r>
    </w:p>
    <w:tbl>
      <w:tblPr>
        <w:tblStyle w:val="TableGrid"/>
        <w:tblpPr w:leftFromText="180" w:rightFromText="180" w:vertAnchor="text" w:horzAnchor="margin" w:tblpY="239"/>
        <w:tblW w:w="9632" w:type="dxa"/>
        <w:tblLook w:val="04A0" w:firstRow="1" w:lastRow="0" w:firstColumn="1" w:lastColumn="0" w:noHBand="0" w:noVBand="1"/>
      </w:tblPr>
      <w:tblGrid>
        <w:gridCol w:w="2408"/>
        <w:gridCol w:w="2408"/>
        <w:gridCol w:w="2408"/>
        <w:gridCol w:w="2408"/>
      </w:tblGrid>
      <w:tr w:rsidR="00B677B8" w14:paraId="3147EF09" w14:textId="77777777" w:rsidTr="00B677B8">
        <w:trPr>
          <w:trHeight w:val="346"/>
        </w:trPr>
        <w:tc>
          <w:tcPr>
            <w:tcW w:w="963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139CBB0" w14:textId="43BE73DA" w:rsidR="00B677B8" w:rsidRDefault="00B677B8" w:rsidP="00B677B8">
            <w:r w:rsidRPr="00B677B8">
              <w:rPr>
                <w:b/>
                <w:caps/>
                <w:sz w:val="28"/>
              </w:rPr>
              <w:t>Prepared By:</w:t>
            </w:r>
          </w:p>
        </w:tc>
      </w:tr>
      <w:tr w:rsidR="00B677B8" w:rsidRPr="00B677B8" w14:paraId="48D56F99" w14:textId="77777777" w:rsidTr="00B677B8">
        <w:trPr>
          <w:trHeight w:val="519"/>
        </w:trPr>
        <w:tc>
          <w:tcPr>
            <w:tcW w:w="24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FAA0CC7" w14:textId="77777777" w:rsidR="00B677B8" w:rsidRPr="00B677B8" w:rsidRDefault="00B677B8" w:rsidP="00B677B8">
            <w:pPr>
              <w:jc w:val="center"/>
              <w:rPr>
                <w:caps/>
                <w:sz w:val="24"/>
              </w:rPr>
            </w:pPr>
            <w:r w:rsidRPr="00B677B8">
              <w:rPr>
                <w:caps/>
                <w:sz w:val="24"/>
              </w:rPr>
              <w:t>Print Name</w:t>
            </w:r>
          </w:p>
        </w:tc>
        <w:tc>
          <w:tcPr>
            <w:tcW w:w="24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B90656" w14:textId="77777777" w:rsidR="00B677B8" w:rsidRPr="00B677B8" w:rsidRDefault="00B677B8" w:rsidP="00B677B8">
            <w:pPr>
              <w:jc w:val="center"/>
              <w:rPr>
                <w:caps/>
              </w:rPr>
            </w:pPr>
            <w:r w:rsidRPr="00B677B8">
              <w:rPr>
                <w:caps/>
                <w:sz w:val="24"/>
              </w:rPr>
              <w:t>Position</w:t>
            </w:r>
          </w:p>
        </w:tc>
        <w:tc>
          <w:tcPr>
            <w:tcW w:w="24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34D521" w14:textId="77777777" w:rsidR="00B677B8" w:rsidRPr="00B677B8" w:rsidRDefault="00B677B8" w:rsidP="00B677B8">
            <w:pPr>
              <w:jc w:val="center"/>
              <w:rPr>
                <w:caps/>
              </w:rPr>
            </w:pPr>
            <w:r w:rsidRPr="00B677B8">
              <w:rPr>
                <w:caps/>
                <w:sz w:val="24"/>
              </w:rPr>
              <w:t>Signature</w:t>
            </w:r>
          </w:p>
        </w:tc>
        <w:tc>
          <w:tcPr>
            <w:tcW w:w="24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7E11C32" w14:textId="77777777" w:rsidR="00B677B8" w:rsidRPr="00B677B8" w:rsidRDefault="00B677B8" w:rsidP="00B677B8">
            <w:pPr>
              <w:jc w:val="center"/>
              <w:rPr>
                <w:caps/>
                <w:sz w:val="24"/>
              </w:rPr>
            </w:pPr>
            <w:r w:rsidRPr="00B677B8">
              <w:rPr>
                <w:caps/>
                <w:sz w:val="24"/>
              </w:rPr>
              <w:t>Date</w:t>
            </w:r>
          </w:p>
          <w:p w14:paraId="32036F66" w14:textId="77777777" w:rsidR="00B677B8" w:rsidRPr="00B677B8" w:rsidRDefault="00B677B8" w:rsidP="00B677B8">
            <w:pPr>
              <w:jc w:val="center"/>
              <w:rPr>
                <w:caps/>
              </w:rPr>
            </w:pPr>
            <w:r w:rsidRPr="00B677B8">
              <w:rPr>
                <w:caps/>
                <w:sz w:val="18"/>
              </w:rPr>
              <w:t>(DD / MM / YY)</w:t>
            </w:r>
          </w:p>
        </w:tc>
      </w:tr>
      <w:tr w:rsidR="00B677B8" w:rsidRPr="00C10196" w14:paraId="12A651DF" w14:textId="77777777" w:rsidTr="00B677B8">
        <w:trPr>
          <w:trHeight w:val="608"/>
        </w:trPr>
        <w:tc>
          <w:tcPr>
            <w:tcW w:w="24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272EBA" w14:textId="343385E8" w:rsidR="00B677B8" w:rsidRPr="00C10196" w:rsidRDefault="00B36E06" w:rsidP="00B36E06">
            <w:pPr>
              <w:jc w:val="center"/>
              <w:rPr>
                <w:sz w:val="24"/>
              </w:rPr>
            </w:pPr>
            <w:r w:rsidRPr="00C10196">
              <w:rPr>
                <w:sz w:val="24"/>
              </w:rPr>
              <w:t>BEN SMITH</w:t>
            </w:r>
          </w:p>
        </w:tc>
        <w:tc>
          <w:tcPr>
            <w:tcW w:w="24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386FDC" w14:textId="6825115E" w:rsidR="00B677B8" w:rsidRPr="00C10196" w:rsidRDefault="00B36E06" w:rsidP="00B36E06">
            <w:pPr>
              <w:jc w:val="center"/>
              <w:rPr>
                <w:sz w:val="24"/>
              </w:rPr>
            </w:pPr>
            <w:r w:rsidRPr="00C10196">
              <w:rPr>
                <w:sz w:val="24"/>
              </w:rPr>
              <w:t>Product and Innovation Manager</w:t>
            </w:r>
          </w:p>
        </w:tc>
        <w:tc>
          <w:tcPr>
            <w:tcW w:w="24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28200A" w14:textId="77777777" w:rsidR="00B677B8" w:rsidRPr="00C10196" w:rsidRDefault="00B677B8" w:rsidP="00B677B8">
            <w:pPr>
              <w:rPr>
                <w:sz w:val="24"/>
              </w:rPr>
            </w:pPr>
          </w:p>
        </w:tc>
        <w:tc>
          <w:tcPr>
            <w:tcW w:w="24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6206A8" w14:textId="77777777" w:rsidR="00B677B8" w:rsidRPr="00C10196" w:rsidRDefault="00B677B8" w:rsidP="00B677B8">
            <w:pPr>
              <w:rPr>
                <w:sz w:val="24"/>
              </w:rPr>
            </w:pPr>
          </w:p>
        </w:tc>
      </w:tr>
      <w:tr w:rsidR="00B677B8" w14:paraId="3E797EFC" w14:textId="77777777" w:rsidTr="00B677B8">
        <w:trPr>
          <w:trHeight w:val="277"/>
        </w:trPr>
        <w:tc>
          <w:tcPr>
            <w:tcW w:w="2408" w:type="dxa"/>
            <w:tcBorders>
              <w:top w:val="single" w:sz="4" w:space="0" w:color="808080" w:themeColor="background1" w:themeShade="80"/>
              <w:left w:val="nil"/>
              <w:bottom w:val="single" w:sz="4" w:space="0" w:color="808080" w:themeColor="background1" w:themeShade="80"/>
              <w:right w:val="nil"/>
            </w:tcBorders>
          </w:tcPr>
          <w:p w14:paraId="119F8ECA" w14:textId="77777777" w:rsidR="00B677B8" w:rsidRPr="00B677B8" w:rsidRDefault="00B677B8" w:rsidP="00B677B8">
            <w:pPr>
              <w:rPr>
                <w:sz w:val="32"/>
              </w:rPr>
            </w:pPr>
          </w:p>
        </w:tc>
        <w:tc>
          <w:tcPr>
            <w:tcW w:w="2408" w:type="dxa"/>
            <w:tcBorders>
              <w:top w:val="single" w:sz="4" w:space="0" w:color="808080" w:themeColor="background1" w:themeShade="80"/>
              <w:left w:val="nil"/>
              <w:bottom w:val="single" w:sz="4" w:space="0" w:color="808080" w:themeColor="background1" w:themeShade="80"/>
              <w:right w:val="nil"/>
            </w:tcBorders>
          </w:tcPr>
          <w:p w14:paraId="31358665" w14:textId="77777777" w:rsidR="00B677B8" w:rsidRDefault="00B677B8" w:rsidP="00B677B8"/>
        </w:tc>
        <w:tc>
          <w:tcPr>
            <w:tcW w:w="2408" w:type="dxa"/>
            <w:tcBorders>
              <w:top w:val="single" w:sz="4" w:space="0" w:color="808080" w:themeColor="background1" w:themeShade="80"/>
              <w:left w:val="nil"/>
              <w:bottom w:val="single" w:sz="4" w:space="0" w:color="808080" w:themeColor="background1" w:themeShade="80"/>
              <w:right w:val="nil"/>
            </w:tcBorders>
          </w:tcPr>
          <w:p w14:paraId="6D718E35" w14:textId="77777777" w:rsidR="00B677B8" w:rsidRDefault="00B677B8" w:rsidP="00B677B8"/>
        </w:tc>
        <w:tc>
          <w:tcPr>
            <w:tcW w:w="2408" w:type="dxa"/>
            <w:tcBorders>
              <w:top w:val="single" w:sz="4" w:space="0" w:color="808080" w:themeColor="background1" w:themeShade="80"/>
              <w:left w:val="nil"/>
              <w:bottom w:val="single" w:sz="4" w:space="0" w:color="808080" w:themeColor="background1" w:themeShade="80"/>
              <w:right w:val="nil"/>
            </w:tcBorders>
          </w:tcPr>
          <w:p w14:paraId="386965F7" w14:textId="77777777" w:rsidR="00B677B8" w:rsidRDefault="00B677B8" w:rsidP="00B677B8"/>
        </w:tc>
      </w:tr>
      <w:tr w:rsidR="00B677B8" w14:paraId="1EBDCDA2" w14:textId="77777777" w:rsidTr="00B677B8">
        <w:trPr>
          <w:trHeight w:val="346"/>
        </w:trPr>
        <w:tc>
          <w:tcPr>
            <w:tcW w:w="963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27F7524" w14:textId="55A1F635" w:rsidR="00B677B8" w:rsidRPr="00976FE8" w:rsidRDefault="00B677B8" w:rsidP="00B677B8">
            <w:pPr>
              <w:rPr>
                <w:sz w:val="24"/>
              </w:rPr>
            </w:pPr>
            <w:r w:rsidRPr="00B677B8">
              <w:rPr>
                <w:b/>
                <w:caps/>
                <w:sz w:val="28"/>
              </w:rPr>
              <w:t>Reviewed By:</w:t>
            </w:r>
          </w:p>
        </w:tc>
      </w:tr>
      <w:tr w:rsidR="00B677B8" w:rsidRPr="00B677B8" w14:paraId="649B38AD" w14:textId="77777777" w:rsidTr="00B677B8">
        <w:trPr>
          <w:trHeight w:val="519"/>
        </w:trPr>
        <w:tc>
          <w:tcPr>
            <w:tcW w:w="24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2867486" w14:textId="77777777" w:rsidR="00B677B8" w:rsidRPr="00B677B8" w:rsidRDefault="00B677B8" w:rsidP="00B677B8">
            <w:pPr>
              <w:jc w:val="center"/>
              <w:rPr>
                <w:caps/>
                <w:sz w:val="24"/>
              </w:rPr>
            </w:pPr>
            <w:r w:rsidRPr="00B677B8">
              <w:rPr>
                <w:caps/>
                <w:sz w:val="24"/>
              </w:rPr>
              <w:t>Print Name</w:t>
            </w:r>
          </w:p>
        </w:tc>
        <w:tc>
          <w:tcPr>
            <w:tcW w:w="24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B312D1F" w14:textId="77777777" w:rsidR="00B677B8" w:rsidRPr="00B677B8" w:rsidRDefault="00B677B8" w:rsidP="00B677B8">
            <w:pPr>
              <w:jc w:val="center"/>
              <w:rPr>
                <w:caps/>
                <w:sz w:val="24"/>
              </w:rPr>
            </w:pPr>
            <w:r w:rsidRPr="00B677B8">
              <w:rPr>
                <w:caps/>
                <w:sz w:val="24"/>
              </w:rPr>
              <w:t>Position</w:t>
            </w:r>
          </w:p>
        </w:tc>
        <w:tc>
          <w:tcPr>
            <w:tcW w:w="24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9CBC3B" w14:textId="77777777" w:rsidR="00B677B8" w:rsidRPr="00B677B8" w:rsidRDefault="00B677B8" w:rsidP="00B677B8">
            <w:pPr>
              <w:jc w:val="center"/>
              <w:rPr>
                <w:caps/>
                <w:sz w:val="24"/>
              </w:rPr>
            </w:pPr>
            <w:r w:rsidRPr="00B677B8">
              <w:rPr>
                <w:caps/>
                <w:sz w:val="24"/>
              </w:rPr>
              <w:t>Signature</w:t>
            </w:r>
          </w:p>
        </w:tc>
        <w:tc>
          <w:tcPr>
            <w:tcW w:w="24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FEDDF3A" w14:textId="77777777" w:rsidR="00B677B8" w:rsidRPr="00B677B8" w:rsidRDefault="00B677B8" w:rsidP="00B677B8">
            <w:pPr>
              <w:jc w:val="center"/>
              <w:rPr>
                <w:caps/>
                <w:sz w:val="24"/>
              </w:rPr>
            </w:pPr>
            <w:r w:rsidRPr="00B677B8">
              <w:rPr>
                <w:caps/>
                <w:sz w:val="24"/>
              </w:rPr>
              <w:t>Date</w:t>
            </w:r>
          </w:p>
          <w:p w14:paraId="73998BF5" w14:textId="77777777" w:rsidR="00B677B8" w:rsidRPr="00B677B8" w:rsidRDefault="00B677B8" w:rsidP="00B677B8">
            <w:pPr>
              <w:jc w:val="center"/>
              <w:rPr>
                <w:caps/>
                <w:sz w:val="24"/>
              </w:rPr>
            </w:pPr>
            <w:r w:rsidRPr="00B677B8">
              <w:rPr>
                <w:caps/>
                <w:sz w:val="18"/>
              </w:rPr>
              <w:t>(DD / MM / YY)</w:t>
            </w:r>
          </w:p>
        </w:tc>
      </w:tr>
      <w:tr w:rsidR="00B677B8" w14:paraId="1F10AFFC" w14:textId="77777777" w:rsidTr="00B677B8">
        <w:trPr>
          <w:trHeight w:val="547"/>
        </w:trPr>
        <w:tc>
          <w:tcPr>
            <w:tcW w:w="24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DA3CA9" w14:textId="23C525BB" w:rsidR="00B677B8" w:rsidRPr="00976FE8" w:rsidRDefault="00803FEE" w:rsidP="00420CD6">
            <w:pPr>
              <w:jc w:val="center"/>
              <w:rPr>
                <w:sz w:val="24"/>
              </w:rPr>
            </w:pPr>
            <w:r>
              <w:rPr>
                <w:sz w:val="24"/>
              </w:rPr>
              <w:t>RAY BARDELL</w:t>
            </w:r>
          </w:p>
        </w:tc>
        <w:tc>
          <w:tcPr>
            <w:tcW w:w="24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55E3E2" w14:textId="167916B9" w:rsidR="00B677B8" w:rsidRPr="00976FE8" w:rsidRDefault="00803FEE" w:rsidP="00420CD6">
            <w:pPr>
              <w:jc w:val="center"/>
              <w:rPr>
                <w:sz w:val="24"/>
              </w:rPr>
            </w:pPr>
            <w:r>
              <w:rPr>
                <w:sz w:val="24"/>
              </w:rPr>
              <w:t>Systems Manager</w:t>
            </w:r>
            <w:r w:rsidR="00420CD6">
              <w:rPr>
                <w:sz w:val="24"/>
              </w:rPr>
              <w:t xml:space="preserve"> (External)</w:t>
            </w:r>
          </w:p>
        </w:tc>
        <w:tc>
          <w:tcPr>
            <w:tcW w:w="24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140954" w14:textId="77777777" w:rsidR="00B677B8" w:rsidRPr="00976FE8" w:rsidRDefault="00B677B8" w:rsidP="00B677B8">
            <w:pPr>
              <w:rPr>
                <w:sz w:val="24"/>
              </w:rPr>
            </w:pPr>
          </w:p>
        </w:tc>
        <w:tc>
          <w:tcPr>
            <w:tcW w:w="24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B6A624" w14:textId="77777777" w:rsidR="00B677B8" w:rsidRPr="00976FE8" w:rsidRDefault="00B677B8" w:rsidP="00B677B8">
            <w:pPr>
              <w:rPr>
                <w:sz w:val="24"/>
              </w:rPr>
            </w:pPr>
          </w:p>
        </w:tc>
      </w:tr>
      <w:tr w:rsidR="00B677B8" w14:paraId="14D74EC8" w14:textId="77777777" w:rsidTr="00B677B8">
        <w:trPr>
          <w:trHeight w:val="295"/>
        </w:trPr>
        <w:tc>
          <w:tcPr>
            <w:tcW w:w="2408" w:type="dxa"/>
            <w:tcBorders>
              <w:top w:val="single" w:sz="4" w:space="0" w:color="808080" w:themeColor="background1" w:themeShade="80"/>
              <w:left w:val="nil"/>
              <w:bottom w:val="single" w:sz="4" w:space="0" w:color="808080" w:themeColor="background1" w:themeShade="80"/>
              <w:right w:val="nil"/>
            </w:tcBorders>
          </w:tcPr>
          <w:p w14:paraId="5E3C2884" w14:textId="77777777" w:rsidR="00B677B8" w:rsidRPr="00B677B8" w:rsidRDefault="00B677B8" w:rsidP="00B677B8">
            <w:pPr>
              <w:rPr>
                <w:sz w:val="32"/>
              </w:rPr>
            </w:pPr>
          </w:p>
        </w:tc>
        <w:tc>
          <w:tcPr>
            <w:tcW w:w="2408" w:type="dxa"/>
            <w:tcBorders>
              <w:top w:val="single" w:sz="4" w:space="0" w:color="808080" w:themeColor="background1" w:themeShade="80"/>
              <w:left w:val="nil"/>
              <w:bottom w:val="single" w:sz="4" w:space="0" w:color="808080" w:themeColor="background1" w:themeShade="80"/>
              <w:right w:val="nil"/>
            </w:tcBorders>
          </w:tcPr>
          <w:p w14:paraId="44EB4537" w14:textId="77777777" w:rsidR="00B677B8" w:rsidRPr="00976FE8" w:rsidRDefault="00B677B8" w:rsidP="00B677B8">
            <w:pPr>
              <w:rPr>
                <w:sz w:val="24"/>
              </w:rPr>
            </w:pPr>
          </w:p>
        </w:tc>
        <w:tc>
          <w:tcPr>
            <w:tcW w:w="2408" w:type="dxa"/>
            <w:tcBorders>
              <w:top w:val="single" w:sz="4" w:space="0" w:color="808080" w:themeColor="background1" w:themeShade="80"/>
              <w:left w:val="nil"/>
              <w:bottom w:val="single" w:sz="4" w:space="0" w:color="808080" w:themeColor="background1" w:themeShade="80"/>
              <w:right w:val="nil"/>
            </w:tcBorders>
          </w:tcPr>
          <w:p w14:paraId="10CB3316" w14:textId="77777777" w:rsidR="00B677B8" w:rsidRPr="00976FE8" w:rsidRDefault="00B677B8" w:rsidP="00B677B8">
            <w:pPr>
              <w:rPr>
                <w:sz w:val="24"/>
              </w:rPr>
            </w:pPr>
          </w:p>
        </w:tc>
        <w:tc>
          <w:tcPr>
            <w:tcW w:w="2408" w:type="dxa"/>
            <w:tcBorders>
              <w:top w:val="single" w:sz="4" w:space="0" w:color="808080" w:themeColor="background1" w:themeShade="80"/>
              <w:left w:val="nil"/>
              <w:bottom w:val="single" w:sz="4" w:space="0" w:color="808080" w:themeColor="background1" w:themeShade="80"/>
              <w:right w:val="nil"/>
            </w:tcBorders>
          </w:tcPr>
          <w:p w14:paraId="5E73A03E" w14:textId="77777777" w:rsidR="00B677B8" w:rsidRPr="00976FE8" w:rsidRDefault="00B677B8" w:rsidP="00B677B8">
            <w:pPr>
              <w:rPr>
                <w:sz w:val="24"/>
              </w:rPr>
            </w:pPr>
          </w:p>
        </w:tc>
      </w:tr>
      <w:tr w:rsidR="00B677B8" w14:paraId="2296DF40" w14:textId="77777777" w:rsidTr="00B677B8">
        <w:trPr>
          <w:trHeight w:val="346"/>
        </w:trPr>
        <w:tc>
          <w:tcPr>
            <w:tcW w:w="963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C0979EA" w14:textId="7B704FA1" w:rsidR="00B677B8" w:rsidRPr="00976FE8" w:rsidRDefault="00B677B8" w:rsidP="00B677B8">
            <w:pPr>
              <w:rPr>
                <w:sz w:val="24"/>
              </w:rPr>
            </w:pPr>
            <w:r w:rsidRPr="00B677B8">
              <w:rPr>
                <w:b/>
                <w:caps/>
                <w:sz w:val="28"/>
              </w:rPr>
              <w:t>Approved By:</w:t>
            </w:r>
          </w:p>
        </w:tc>
      </w:tr>
      <w:tr w:rsidR="00B677B8" w:rsidRPr="00B677B8" w14:paraId="01891313" w14:textId="77777777" w:rsidTr="00B677B8">
        <w:trPr>
          <w:trHeight w:val="519"/>
        </w:trPr>
        <w:tc>
          <w:tcPr>
            <w:tcW w:w="24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0FF5A8B" w14:textId="77777777" w:rsidR="00B677B8" w:rsidRPr="00B677B8" w:rsidRDefault="00B677B8" w:rsidP="00B677B8">
            <w:pPr>
              <w:jc w:val="center"/>
              <w:rPr>
                <w:caps/>
                <w:sz w:val="24"/>
              </w:rPr>
            </w:pPr>
            <w:r w:rsidRPr="00B677B8">
              <w:rPr>
                <w:caps/>
                <w:sz w:val="24"/>
              </w:rPr>
              <w:t>Print Name</w:t>
            </w:r>
          </w:p>
        </w:tc>
        <w:tc>
          <w:tcPr>
            <w:tcW w:w="24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F413421" w14:textId="77777777" w:rsidR="00B677B8" w:rsidRPr="00B677B8" w:rsidRDefault="00B677B8" w:rsidP="00B677B8">
            <w:pPr>
              <w:jc w:val="center"/>
              <w:rPr>
                <w:caps/>
                <w:sz w:val="24"/>
              </w:rPr>
            </w:pPr>
            <w:r w:rsidRPr="00B677B8">
              <w:rPr>
                <w:caps/>
                <w:sz w:val="24"/>
              </w:rPr>
              <w:t>Position</w:t>
            </w:r>
          </w:p>
        </w:tc>
        <w:tc>
          <w:tcPr>
            <w:tcW w:w="24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379A137" w14:textId="77777777" w:rsidR="00B677B8" w:rsidRPr="00B677B8" w:rsidRDefault="00B677B8" w:rsidP="00B677B8">
            <w:pPr>
              <w:jc w:val="center"/>
              <w:rPr>
                <w:caps/>
                <w:sz w:val="24"/>
              </w:rPr>
            </w:pPr>
            <w:r w:rsidRPr="00B677B8">
              <w:rPr>
                <w:caps/>
                <w:sz w:val="24"/>
              </w:rPr>
              <w:t>Signature</w:t>
            </w:r>
          </w:p>
        </w:tc>
        <w:tc>
          <w:tcPr>
            <w:tcW w:w="24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2AA2E9" w14:textId="77777777" w:rsidR="00B677B8" w:rsidRPr="00B677B8" w:rsidRDefault="00B677B8" w:rsidP="00B677B8">
            <w:pPr>
              <w:jc w:val="center"/>
              <w:rPr>
                <w:caps/>
                <w:sz w:val="24"/>
              </w:rPr>
            </w:pPr>
            <w:r w:rsidRPr="00B677B8">
              <w:rPr>
                <w:caps/>
                <w:sz w:val="24"/>
              </w:rPr>
              <w:t>Date</w:t>
            </w:r>
          </w:p>
          <w:p w14:paraId="2AB875B9" w14:textId="77777777" w:rsidR="00B677B8" w:rsidRPr="00B677B8" w:rsidRDefault="00B677B8" w:rsidP="00B677B8">
            <w:pPr>
              <w:jc w:val="center"/>
              <w:rPr>
                <w:caps/>
                <w:sz w:val="24"/>
              </w:rPr>
            </w:pPr>
            <w:r w:rsidRPr="00B677B8">
              <w:rPr>
                <w:caps/>
                <w:sz w:val="18"/>
              </w:rPr>
              <w:t>(DD / MM / YY)</w:t>
            </w:r>
          </w:p>
        </w:tc>
      </w:tr>
      <w:tr w:rsidR="00B677B8" w:rsidRPr="00B677B8" w14:paraId="0EBA6430" w14:textId="77777777" w:rsidTr="00B677B8">
        <w:trPr>
          <w:trHeight w:val="543"/>
        </w:trPr>
        <w:tc>
          <w:tcPr>
            <w:tcW w:w="24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AD83B7" w14:textId="6DEB02CC" w:rsidR="00B677B8" w:rsidRPr="00B677B8" w:rsidRDefault="00420CD6" w:rsidP="00420CD6">
            <w:pPr>
              <w:jc w:val="center"/>
              <w:rPr>
                <w:caps/>
                <w:sz w:val="24"/>
              </w:rPr>
            </w:pPr>
            <w:r>
              <w:rPr>
                <w:caps/>
                <w:sz w:val="24"/>
              </w:rPr>
              <w:t>Mike Hutson</w:t>
            </w:r>
          </w:p>
        </w:tc>
        <w:tc>
          <w:tcPr>
            <w:tcW w:w="24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A2C5B8" w14:textId="2E1E05CE" w:rsidR="00B677B8" w:rsidRPr="00B677B8" w:rsidRDefault="00420CD6" w:rsidP="00420CD6">
            <w:pPr>
              <w:jc w:val="center"/>
              <w:rPr>
                <w:caps/>
                <w:sz w:val="24"/>
              </w:rPr>
            </w:pPr>
            <w:r>
              <w:rPr>
                <w:sz w:val="24"/>
              </w:rPr>
              <w:t>Managing Director</w:t>
            </w:r>
          </w:p>
        </w:tc>
        <w:tc>
          <w:tcPr>
            <w:tcW w:w="24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87F8B2" w14:textId="77777777" w:rsidR="00B677B8" w:rsidRPr="00B677B8" w:rsidRDefault="00B677B8" w:rsidP="00B677B8">
            <w:pPr>
              <w:rPr>
                <w:caps/>
                <w:sz w:val="24"/>
              </w:rPr>
            </w:pPr>
          </w:p>
        </w:tc>
        <w:tc>
          <w:tcPr>
            <w:tcW w:w="24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5CB5E1" w14:textId="77777777" w:rsidR="00B677B8" w:rsidRPr="00B677B8" w:rsidRDefault="00B677B8" w:rsidP="00B677B8">
            <w:pPr>
              <w:rPr>
                <w:caps/>
                <w:sz w:val="24"/>
              </w:rPr>
            </w:pPr>
          </w:p>
        </w:tc>
      </w:tr>
      <w:tr w:rsidR="00B677B8" w:rsidRPr="00B677B8" w14:paraId="7EF68308" w14:textId="77777777" w:rsidTr="00B677B8">
        <w:trPr>
          <w:trHeight w:val="295"/>
        </w:trPr>
        <w:tc>
          <w:tcPr>
            <w:tcW w:w="2408" w:type="dxa"/>
            <w:tcBorders>
              <w:top w:val="single" w:sz="4" w:space="0" w:color="808080" w:themeColor="background1" w:themeShade="80"/>
              <w:left w:val="nil"/>
              <w:bottom w:val="nil"/>
              <w:right w:val="nil"/>
            </w:tcBorders>
          </w:tcPr>
          <w:p w14:paraId="1FA24B0C" w14:textId="77777777" w:rsidR="00B677B8" w:rsidRPr="00B677B8" w:rsidRDefault="00B677B8" w:rsidP="00B677B8">
            <w:pPr>
              <w:rPr>
                <w:caps/>
                <w:sz w:val="32"/>
              </w:rPr>
            </w:pPr>
          </w:p>
        </w:tc>
        <w:tc>
          <w:tcPr>
            <w:tcW w:w="2408" w:type="dxa"/>
            <w:tcBorders>
              <w:top w:val="single" w:sz="4" w:space="0" w:color="808080" w:themeColor="background1" w:themeShade="80"/>
              <w:left w:val="nil"/>
              <w:bottom w:val="nil"/>
              <w:right w:val="nil"/>
            </w:tcBorders>
          </w:tcPr>
          <w:p w14:paraId="3025DB62" w14:textId="77777777" w:rsidR="00B677B8" w:rsidRPr="00B677B8" w:rsidRDefault="00B677B8" w:rsidP="00B677B8">
            <w:pPr>
              <w:rPr>
                <w:caps/>
                <w:sz w:val="24"/>
              </w:rPr>
            </w:pPr>
          </w:p>
        </w:tc>
        <w:tc>
          <w:tcPr>
            <w:tcW w:w="2408" w:type="dxa"/>
            <w:tcBorders>
              <w:top w:val="single" w:sz="4" w:space="0" w:color="808080" w:themeColor="background1" w:themeShade="80"/>
              <w:left w:val="nil"/>
              <w:bottom w:val="nil"/>
              <w:right w:val="nil"/>
            </w:tcBorders>
          </w:tcPr>
          <w:p w14:paraId="375E1824" w14:textId="77777777" w:rsidR="00B677B8" w:rsidRPr="00B677B8" w:rsidRDefault="00B677B8" w:rsidP="00B677B8">
            <w:pPr>
              <w:rPr>
                <w:caps/>
                <w:sz w:val="24"/>
              </w:rPr>
            </w:pPr>
          </w:p>
        </w:tc>
        <w:tc>
          <w:tcPr>
            <w:tcW w:w="2408" w:type="dxa"/>
            <w:tcBorders>
              <w:top w:val="single" w:sz="4" w:space="0" w:color="808080" w:themeColor="background1" w:themeShade="80"/>
              <w:left w:val="nil"/>
              <w:bottom w:val="nil"/>
              <w:right w:val="nil"/>
            </w:tcBorders>
          </w:tcPr>
          <w:p w14:paraId="2FD0F93E" w14:textId="77777777" w:rsidR="00B677B8" w:rsidRPr="00B677B8" w:rsidRDefault="00B677B8" w:rsidP="00B677B8">
            <w:pPr>
              <w:rPr>
                <w:caps/>
                <w:sz w:val="24"/>
              </w:rPr>
            </w:pPr>
          </w:p>
        </w:tc>
      </w:tr>
    </w:tbl>
    <w:p w14:paraId="62C55A96" w14:textId="167738AC" w:rsidR="00976FE8" w:rsidRDefault="00976FE8" w:rsidP="00976FE8"/>
    <w:p w14:paraId="3C84FB1C" w14:textId="4608B0FC" w:rsidR="00B677B8" w:rsidRDefault="00B677B8">
      <w:r>
        <w:br w:type="page"/>
      </w:r>
    </w:p>
    <w:p w14:paraId="567A94CE" w14:textId="7E36E3B6" w:rsidR="00B677B8" w:rsidRDefault="00B677B8" w:rsidP="00976FE8"/>
    <w:p w14:paraId="1ACAB109" w14:textId="3D4C4DDA" w:rsidR="00B677B8" w:rsidRDefault="00B677B8" w:rsidP="00976FE8"/>
    <w:p w14:paraId="33537BFA" w14:textId="43F74613" w:rsidR="00B677B8" w:rsidRDefault="00B677B8" w:rsidP="00976FE8"/>
    <w:p w14:paraId="004812A9" w14:textId="6D5B6A59" w:rsidR="00B677B8" w:rsidRDefault="00B677B8" w:rsidP="00976FE8"/>
    <w:tbl>
      <w:tblPr>
        <w:tblStyle w:val="TableGrid"/>
        <w:tblpPr w:leftFromText="180" w:rightFromText="180" w:vertAnchor="text" w:horzAnchor="margin" w:tblpY="239"/>
        <w:tblW w:w="9632" w:type="dxa"/>
        <w:tblLook w:val="04A0" w:firstRow="1" w:lastRow="0" w:firstColumn="1" w:lastColumn="0" w:noHBand="0" w:noVBand="1"/>
      </w:tblPr>
      <w:tblGrid>
        <w:gridCol w:w="1413"/>
        <w:gridCol w:w="1701"/>
        <w:gridCol w:w="5103"/>
        <w:gridCol w:w="1415"/>
      </w:tblGrid>
      <w:tr w:rsidR="00B677B8" w14:paraId="33F0978B" w14:textId="77777777" w:rsidTr="00B1091E">
        <w:trPr>
          <w:trHeight w:val="346"/>
        </w:trPr>
        <w:tc>
          <w:tcPr>
            <w:tcW w:w="963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11F2C3A" w14:textId="380BD6B1" w:rsidR="00B677B8" w:rsidRDefault="00B677B8" w:rsidP="00B677B8">
            <w:pPr>
              <w:jc w:val="center"/>
            </w:pPr>
            <w:r>
              <w:rPr>
                <w:b/>
                <w:caps/>
                <w:sz w:val="28"/>
              </w:rPr>
              <w:t>document revision history</w:t>
            </w:r>
          </w:p>
        </w:tc>
      </w:tr>
      <w:tr w:rsidR="00B677B8" w:rsidRPr="00B677B8" w14:paraId="2AF9274A" w14:textId="77777777" w:rsidTr="00B677B8">
        <w:trPr>
          <w:trHeight w:val="519"/>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FF28D9B" w14:textId="65497665" w:rsidR="00B677B8" w:rsidRPr="00B677B8" w:rsidRDefault="00B677B8" w:rsidP="00B1091E">
            <w:pPr>
              <w:jc w:val="center"/>
              <w:rPr>
                <w:caps/>
                <w:sz w:val="24"/>
              </w:rPr>
            </w:pPr>
            <w:r>
              <w:rPr>
                <w:caps/>
                <w:sz w:val="24"/>
              </w:rPr>
              <w:t xml:space="preserve">revision # </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72F528C" w14:textId="30FAB9BC" w:rsidR="00B677B8" w:rsidRPr="00B677B8" w:rsidRDefault="00B677B8" w:rsidP="00B1091E">
            <w:pPr>
              <w:jc w:val="center"/>
              <w:rPr>
                <w:caps/>
              </w:rPr>
            </w:pPr>
            <w:r>
              <w:rPr>
                <w:caps/>
              </w:rPr>
              <w:t>author</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7E732A" w14:textId="3E12E794" w:rsidR="00B677B8" w:rsidRPr="00B677B8" w:rsidRDefault="00B677B8" w:rsidP="00B1091E">
            <w:pPr>
              <w:jc w:val="center"/>
              <w:rPr>
                <w:caps/>
              </w:rPr>
            </w:pPr>
            <w:r>
              <w:rPr>
                <w:caps/>
                <w:sz w:val="24"/>
              </w:rPr>
              <w:t>description of change</w:t>
            </w:r>
          </w:p>
        </w:tc>
        <w:tc>
          <w:tcPr>
            <w:tcW w:w="14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14F5D7" w14:textId="77777777" w:rsidR="00B677B8" w:rsidRPr="00B677B8" w:rsidRDefault="00B677B8" w:rsidP="00B1091E">
            <w:pPr>
              <w:jc w:val="center"/>
              <w:rPr>
                <w:caps/>
                <w:sz w:val="24"/>
              </w:rPr>
            </w:pPr>
            <w:r w:rsidRPr="00B677B8">
              <w:rPr>
                <w:caps/>
                <w:sz w:val="24"/>
              </w:rPr>
              <w:t>Date</w:t>
            </w:r>
          </w:p>
          <w:p w14:paraId="3A27FBF1" w14:textId="77777777" w:rsidR="00B677B8" w:rsidRPr="00B677B8" w:rsidRDefault="00B677B8" w:rsidP="00B1091E">
            <w:pPr>
              <w:jc w:val="center"/>
              <w:rPr>
                <w:caps/>
              </w:rPr>
            </w:pPr>
            <w:r w:rsidRPr="00B677B8">
              <w:rPr>
                <w:caps/>
                <w:sz w:val="18"/>
              </w:rPr>
              <w:t>(DD / MM / YY)</w:t>
            </w:r>
          </w:p>
        </w:tc>
      </w:tr>
      <w:tr w:rsidR="00B677B8" w14:paraId="7EF91275" w14:textId="77777777" w:rsidTr="00B677B8">
        <w:trPr>
          <w:trHeight w:val="385"/>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3651A73" w14:textId="774FD6E4" w:rsidR="00B677B8" w:rsidRDefault="002276CF" w:rsidP="00B677B8">
            <w:r>
              <w:t>1.00</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8B47C14" w14:textId="2FD09085" w:rsidR="00B677B8" w:rsidRDefault="00B677B8" w:rsidP="00B677B8">
            <w:r>
              <w:t>B Smith</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F08DDFC" w14:textId="1E53FF11" w:rsidR="00B677B8" w:rsidRDefault="00B677B8" w:rsidP="00B677B8">
            <w:r>
              <w:t>Original</w:t>
            </w:r>
            <w:r w:rsidR="00647B63">
              <w:t xml:space="preserve"> - reviewed</w:t>
            </w:r>
          </w:p>
        </w:tc>
        <w:tc>
          <w:tcPr>
            <w:tcW w:w="14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38FAC5" w14:textId="4E79DC43" w:rsidR="00B677B8" w:rsidRDefault="00803FEE" w:rsidP="00B677B8">
            <w:pPr>
              <w:jc w:val="center"/>
            </w:pPr>
            <w:r>
              <w:t>1</w:t>
            </w:r>
            <w:r w:rsidR="00B44BBA">
              <w:t>6</w:t>
            </w:r>
            <w:r w:rsidR="00647B63">
              <w:t>/0</w:t>
            </w:r>
            <w:r w:rsidR="00B44BBA">
              <w:t>7</w:t>
            </w:r>
            <w:r w:rsidR="00B677B8">
              <w:t>/19</w:t>
            </w:r>
          </w:p>
        </w:tc>
      </w:tr>
      <w:tr w:rsidR="00717303" w14:paraId="0D60B1C1" w14:textId="77777777" w:rsidTr="00B677B8">
        <w:trPr>
          <w:trHeight w:val="385"/>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0189E9" w14:textId="77777777" w:rsidR="00717303" w:rsidRDefault="00717303" w:rsidP="00B677B8"/>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1456C2" w14:textId="77777777" w:rsidR="00717303" w:rsidRDefault="00717303" w:rsidP="00B677B8"/>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512346" w14:textId="77777777" w:rsidR="00717303" w:rsidRDefault="00717303" w:rsidP="00B677B8"/>
        </w:tc>
        <w:tc>
          <w:tcPr>
            <w:tcW w:w="14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C30342" w14:textId="77777777" w:rsidR="00717303" w:rsidRDefault="00717303" w:rsidP="00B677B8">
            <w:pPr>
              <w:jc w:val="center"/>
            </w:pPr>
          </w:p>
        </w:tc>
      </w:tr>
    </w:tbl>
    <w:p w14:paraId="670BB82A" w14:textId="79904F8A" w:rsidR="00B677B8" w:rsidRDefault="00B677B8" w:rsidP="00976FE8"/>
    <w:p w14:paraId="3048531A" w14:textId="783E5487" w:rsidR="00B1091E" w:rsidRDefault="00B1091E">
      <w:r>
        <w:br w:type="page"/>
      </w:r>
    </w:p>
    <w:sdt>
      <w:sdtPr>
        <w:rPr>
          <w:rFonts w:asciiTheme="minorHAnsi" w:eastAsiaTheme="minorHAnsi" w:hAnsiTheme="minorHAnsi" w:cstheme="minorBidi"/>
          <w:b w:val="0"/>
          <w:caps w:val="0"/>
          <w:sz w:val="22"/>
          <w:szCs w:val="22"/>
          <w:lang w:val="en-GB"/>
        </w:rPr>
        <w:id w:val="-883561309"/>
        <w:docPartObj>
          <w:docPartGallery w:val="Table of Contents"/>
          <w:docPartUnique/>
        </w:docPartObj>
      </w:sdtPr>
      <w:sdtEndPr>
        <w:rPr>
          <w:bCs/>
          <w:noProof/>
        </w:rPr>
      </w:sdtEndPr>
      <w:sdtContent>
        <w:p w14:paraId="73A64316" w14:textId="0D3281D3" w:rsidR="00B1091E" w:rsidRDefault="00B1091E" w:rsidP="00B1091E">
          <w:pPr>
            <w:pStyle w:val="TOCHeading"/>
          </w:pPr>
          <w:r>
            <w:t>Contents</w:t>
          </w:r>
        </w:p>
        <w:p w14:paraId="18D57360" w14:textId="33C177DD" w:rsidR="00B44BBA" w:rsidRDefault="00B1091E">
          <w:pPr>
            <w:pStyle w:val="TOC1"/>
            <w:tabs>
              <w:tab w:val="right" w:leader="dot" w:pos="9016"/>
            </w:tabs>
            <w:rPr>
              <w:rFonts w:eastAsiaTheme="minorEastAsia"/>
              <w:noProof/>
              <w:lang w:eastAsia="en-GB"/>
            </w:rPr>
          </w:pPr>
          <w:r>
            <w:rPr>
              <w:b/>
              <w:bCs/>
              <w:noProof/>
            </w:rPr>
            <w:fldChar w:fldCharType="begin"/>
          </w:r>
          <w:r>
            <w:rPr>
              <w:b/>
              <w:bCs/>
              <w:noProof/>
            </w:rPr>
            <w:instrText xml:space="preserve"> TOC \o "1-3" \h \z \u </w:instrText>
          </w:r>
          <w:r>
            <w:rPr>
              <w:b/>
              <w:bCs/>
              <w:noProof/>
            </w:rPr>
            <w:fldChar w:fldCharType="separate"/>
          </w:r>
          <w:hyperlink w:anchor="_Toc14174495" w:history="1">
            <w:r w:rsidR="00B44BBA" w:rsidRPr="00710BFF">
              <w:rPr>
                <w:rStyle w:val="Hyperlink"/>
                <w:noProof/>
              </w:rPr>
              <w:t>1. INTRODUCTION</w:t>
            </w:r>
            <w:r w:rsidR="00B44BBA">
              <w:rPr>
                <w:noProof/>
                <w:webHidden/>
              </w:rPr>
              <w:tab/>
            </w:r>
            <w:r w:rsidR="00B44BBA">
              <w:rPr>
                <w:noProof/>
                <w:webHidden/>
              </w:rPr>
              <w:fldChar w:fldCharType="begin"/>
            </w:r>
            <w:r w:rsidR="00B44BBA">
              <w:rPr>
                <w:noProof/>
                <w:webHidden/>
              </w:rPr>
              <w:instrText xml:space="preserve"> PAGEREF _Toc14174495 \h </w:instrText>
            </w:r>
            <w:r w:rsidR="00B44BBA">
              <w:rPr>
                <w:noProof/>
                <w:webHidden/>
              </w:rPr>
            </w:r>
            <w:r w:rsidR="00B44BBA">
              <w:rPr>
                <w:noProof/>
                <w:webHidden/>
              </w:rPr>
              <w:fldChar w:fldCharType="separate"/>
            </w:r>
            <w:r w:rsidR="00B44BBA">
              <w:rPr>
                <w:noProof/>
                <w:webHidden/>
              </w:rPr>
              <w:t>4</w:t>
            </w:r>
            <w:r w:rsidR="00B44BBA">
              <w:rPr>
                <w:noProof/>
                <w:webHidden/>
              </w:rPr>
              <w:fldChar w:fldCharType="end"/>
            </w:r>
          </w:hyperlink>
        </w:p>
        <w:p w14:paraId="4FB7E777" w14:textId="0005EB55" w:rsidR="00B44BBA" w:rsidRDefault="00DB3FFB">
          <w:pPr>
            <w:pStyle w:val="TOC1"/>
            <w:tabs>
              <w:tab w:val="right" w:leader="dot" w:pos="9016"/>
            </w:tabs>
            <w:rPr>
              <w:rFonts w:eastAsiaTheme="minorEastAsia"/>
              <w:noProof/>
              <w:lang w:eastAsia="en-GB"/>
            </w:rPr>
          </w:pPr>
          <w:hyperlink w:anchor="_Toc14174496" w:history="1">
            <w:r w:rsidR="00B44BBA" w:rsidRPr="00710BFF">
              <w:rPr>
                <w:rStyle w:val="Hyperlink"/>
                <w:noProof/>
              </w:rPr>
              <w:t>2. ROTATION THERAPY</w:t>
            </w:r>
            <w:r w:rsidR="00B44BBA">
              <w:rPr>
                <w:noProof/>
                <w:webHidden/>
              </w:rPr>
              <w:tab/>
            </w:r>
            <w:r w:rsidR="00B44BBA">
              <w:rPr>
                <w:noProof/>
                <w:webHidden/>
              </w:rPr>
              <w:fldChar w:fldCharType="begin"/>
            </w:r>
            <w:r w:rsidR="00B44BBA">
              <w:rPr>
                <w:noProof/>
                <w:webHidden/>
              </w:rPr>
              <w:instrText xml:space="preserve"> PAGEREF _Toc14174496 \h </w:instrText>
            </w:r>
            <w:r w:rsidR="00B44BBA">
              <w:rPr>
                <w:noProof/>
                <w:webHidden/>
              </w:rPr>
            </w:r>
            <w:r w:rsidR="00B44BBA">
              <w:rPr>
                <w:noProof/>
                <w:webHidden/>
              </w:rPr>
              <w:fldChar w:fldCharType="separate"/>
            </w:r>
            <w:r w:rsidR="00B44BBA">
              <w:rPr>
                <w:noProof/>
                <w:webHidden/>
              </w:rPr>
              <w:t>4</w:t>
            </w:r>
            <w:r w:rsidR="00B44BBA">
              <w:rPr>
                <w:noProof/>
                <w:webHidden/>
              </w:rPr>
              <w:fldChar w:fldCharType="end"/>
            </w:r>
          </w:hyperlink>
        </w:p>
        <w:p w14:paraId="5D37A5E8" w14:textId="31490D0B" w:rsidR="00B44BBA" w:rsidRDefault="00DB3FFB">
          <w:pPr>
            <w:pStyle w:val="TOC2"/>
            <w:tabs>
              <w:tab w:val="right" w:leader="dot" w:pos="9016"/>
            </w:tabs>
            <w:rPr>
              <w:rFonts w:eastAsiaTheme="minorEastAsia"/>
              <w:noProof/>
              <w:lang w:eastAsia="en-GB"/>
            </w:rPr>
          </w:pPr>
          <w:hyperlink w:anchor="_Toc14174497" w:history="1">
            <w:r w:rsidR="00B44BBA" w:rsidRPr="00710BFF">
              <w:rPr>
                <w:rStyle w:val="Hyperlink"/>
                <w:noProof/>
              </w:rPr>
              <w:t>2.1. Introduction to Continuous Lateral Rotational Therapy</w:t>
            </w:r>
            <w:r w:rsidR="00B44BBA">
              <w:rPr>
                <w:noProof/>
                <w:webHidden/>
              </w:rPr>
              <w:tab/>
            </w:r>
            <w:r w:rsidR="00B44BBA">
              <w:rPr>
                <w:noProof/>
                <w:webHidden/>
              </w:rPr>
              <w:fldChar w:fldCharType="begin"/>
            </w:r>
            <w:r w:rsidR="00B44BBA">
              <w:rPr>
                <w:noProof/>
                <w:webHidden/>
              </w:rPr>
              <w:instrText xml:space="preserve"> PAGEREF _Toc14174497 \h </w:instrText>
            </w:r>
            <w:r w:rsidR="00B44BBA">
              <w:rPr>
                <w:noProof/>
                <w:webHidden/>
              </w:rPr>
            </w:r>
            <w:r w:rsidR="00B44BBA">
              <w:rPr>
                <w:noProof/>
                <w:webHidden/>
              </w:rPr>
              <w:fldChar w:fldCharType="separate"/>
            </w:r>
            <w:r w:rsidR="00B44BBA">
              <w:rPr>
                <w:noProof/>
                <w:webHidden/>
              </w:rPr>
              <w:t>4</w:t>
            </w:r>
            <w:r w:rsidR="00B44BBA">
              <w:rPr>
                <w:noProof/>
                <w:webHidden/>
              </w:rPr>
              <w:fldChar w:fldCharType="end"/>
            </w:r>
          </w:hyperlink>
        </w:p>
        <w:p w14:paraId="3AE4A1C7" w14:textId="5BCD9A51" w:rsidR="00B44BBA" w:rsidRDefault="00DB3FFB">
          <w:pPr>
            <w:pStyle w:val="TOC2"/>
            <w:tabs>
              <w:tab w:val="right" w:leader="dot" w:pos="9016"/>
            </w:tabs>
            <w:rPr>
              <w:rFonts w:eastAsiaTheme="minorEastAsia"/>
              <w:noProof/>
              <w:lang w:eastAsia="en-GB"/>
            </w:rPr>
          </w:pPr>
          <w:hyperlink w:anchor="_Toc14174498" w:history="1">
            <w:r w:rsidR="00B44BBA" w:rsidRPr="00710BFF">
              <w:rPr>
                <w:rStyle w:val="Hyperlink"/>
                <w:noProof/>
              </w:rPr>
              <w:t>2.2. Clinical Benefits of CLRT</w:t>
            </w:r>
            <w:r w:rsidR="00B44BBA">
              <w:rPr>
                <w:noProof/>
                <w:webHidden/>
              </w:rPr>
              <w:tab/>
            </w:r>
            <w:r w:rsidR="00B44BBA">
              <w:rPr>
                <w:noProof/>
                <w:webHidden/>
              </w:rPr>
              <w:fldChar w:fldCharType="begin"/>
            </w:r>
            <w:r w:rsidR="00B44BBA">
              <w:rPr>
                <w:noProof/>
                <w:webHidden/>
              </w:rPr>
              <w:instrText xml:space="preserve"> PAGEREF _Toc14174498 \h </w:instrText>
            </w:r>
            <w:r w:rsidR="00B44BBA">
              <w:rPr>
                <w:noProof/>
                <w:webHidden/>
              </w:rPr>
            </w:r>
            <w:r w:rsidR="00B44BBA">
              <w:rPr>
                <w:noProof/>
                <w:webHidden/>
              </w:rPr>
              <w:fldChar w:fldCharType="separate"/>
            </w:r>
            <w:r w:rsidR="00B44BBA">
              <w:rPr>
                <w:noProof/>
                <w:webHidden/>
              </w:rPr>
              <w:t>5</w:t>
            </w:r>
            <w:r w:rsidR="00B44BBA">
              <w:rPr>
                <w:noProof/>
                <w:webHidden/>
              </w:rPr>
              <w:fldChar w:fldCharType="end"/>
            </w:r>
          </w:hyperlink>
        </w:p>
        <w:p w14:paraId="701F29BB" w14:textId="27E75FDD" w:rsidR="00B44BBA" w:rsidRDefault="00DB3FFB">
          <w:pPr>
            <w:pStyle w:val="TOC2"/>
            <w:tabs>
              <w:tab w:val="right" w:leader="dot" w:pos="9016"/>
            </w:tabs>
            <w:rPr>
              <w:rFonts w:eastAsiaTheme="minorEastAsia"/>
              <w:noProof/>
              <w:lang w:eastAsia="en-GB"/>
            </w:rPr>
          </w:pPr>
          <w:hyperlink w:anchor="_Toc14174499" w:history="1">
            <w:r w:rsidR="00B44BBA" w:rsidRPr="00710BFF">
              <w:rPr>
                <w:rStyle w:val="Hyperlink"/>
                <w:noProof/>
              </w:rPr>
              <w:t>2.3. Risks with CLRT</w:t>
            </w:r>
            <w:r w:rsidR="00B44BBA">
              <w:rPr>
                <w:noProof/>
                <w:webHidden/>
              </w:rPr>
              <w:tab/>
            </w:r>
            <w:r w:rsidR="00B44BBA">
              <w:rPr>
                <w:noProof/>
                <w:webHidden/>
              </w:rPr>
              <w:fldChar w:fldCharType="begin"/>
            </w:r>
            <w:r w:rsidR="00B44BBA">
              <w:rPr>
                <w:noProof/>
                <w:webHidden/>
              </w:rPr>
              <w:instrText xml:space="preserve"> PAGEREF _Toc14174499 \h </w:instrText>
            </w:r>
            <w:r w:rsidR="00B44BBA">
              <w:rPr>
                <w:noProof/>
                <w:webHidden/>
              </w:rPr>
            </w:r>
            <w:r w:rsidR="00B44BBA">
              <w:rPr>
                <w:noProof/>
                <w:webHidden/>
              </w:rPr>
              <w:fldChar w:fldCharType="separate"/>
            </w:r>
            <w:r w:rsidR="00B44BBA">
              <w:rPr>
                <w:noProof/>
                <w:webHidden/>
              </w:rPr>
              <w:t>7</w:t>
            </w:r>
            <w:r w:rsidR="00B44BBA">
              <w:rPr>
                <w:noProof/>
                <w:webHidden/>
              </w:rPr>
              <w:fldChar w:fldCharType="end"/>
            </w:r>
          </w:hyperlink>
        </w:p>
        <w:p w14:paraId="7690CDFC" w14:textId="4E73BAD0" w:rsidR="00B44BBA" w:rsidRDefault="00DB3FFB">
          <w:pPr>
            <w:pStyle w:val="TOC1"/>
            <w:tabs>
              <w:tab w:val="right" w:leader="dot" w:pos="9016"/>
            </w:tabs>
            <w:rPr>
              <w:rFonts w:eastAsiaTheme="minorEastAsia"/>
              <w:noProof/>
              <w:lang w:eastAsia="en-GB"/>
            </w:rPr>
          </w:pPr>
          <w:hyperlink w:anchor="_Toc14174500" w:history="1">
            <w:r w:rsidR="00B44BBA" w:rsidRPr="00710BFF">
              <w:rPr>
                <w:rStyle w:val="Hyperlink"/>
                <w:noProof/>
              </w:rPr>
              <w:t>3. CONTINUOUS LATERAL ROTATIONAL THERAPY: A synergy to anti-decubitus devices</w:t>
            </w:r>
            <w:r w:rsidR="00B44BBA">
              <w:rPr>
                <w:noProof/>
                <w:webHidden/>
              </w:rPr>
              <w:tab/>
            </w:r>
            <w:r w:rsidR="00B44BBA">
              <w:rPr>
                <w:noProof/>
                <w:webHidden/>
              </w:rPr>
              <w:fldChar w:fldCharType="begin"/>
            </w:r>
            <w:r w:rsidR="00B44BBA">
              <w:rPr>
                <w:noProof/>
                <w:webHidden/>
              </w:rPr>
              <w:instrText xml:space="preserve"> PAGEREF _Toc14174500 \h </w:instrText>
            </w:r>
            <w:r w:rsidR="00B44BBA">
              <w:rPr>
                <w:noProof/>
                <w:webHidden/>
              </w:rPr>
            </w:r>
            <w:r w:rsidR="00B44BBA">
              <w:rPr>
                <w:noProof/>
                <w:webHidden/>
              </w:rPr>
              <w:fldChar w:fldCharType="separate"/>
            </w:r>
            <w:r w:rsidR="00B44BBA">
              <w:rPr>
                <w:noProof/>
                <w:webHidden/>
              </w:rPr>
              <w:t>8</w:t>
            </w:r>
            <w:r w:rsidR="00B44BBA">
              <w:rPr>
                <w:noProof/>
                <w:webHidden/>
              </w:rPr>
              <w:fldChar w:fldCharType="end"/>
            </w:r>
          </w:hyperlink>
        </w:p>
        <w:p w14:paraId="2C3B41D9" w14:textId="6658D16E" w:rsidR="00B44BBA" w:rsidRDefault="00DB3FFB">
          <w:pPr>
            <w:pStyle w:val="TOC2"/>
            <w:tabs>
              <w:tab w:val="right" w:leader="dot" w:pos="9016"/>
            </w:tabs>
            <w:rPr>
              <w:rFonts w:eastAsiaTheme="minorEastAsia"/>
              <w:noProof/>
              <w:lang w:eastAsia="en-GB"/>
            </w:rPr>
          </w:pPr>
          <w:hyperlink w:anchor="_Toc14174501" w:history="1">
            <w:r w:rsidR="00B44BBA" w:rsidRPr="00710BFF">
              <w:rPr>
                <w:rStyle w:val="Hyperlink"/>
                <w:noProof/>
              </w:rPr>
              <w:t>3.1. Reducing pressure ulcers using CLRT</w:t>
            </w:r>
            <w:r w:rsidR="00B44BBA">
              <w:rPr>
                <w:noProof/>
                <w:webHidden/>
              </w:rPr>
              <w:tab/>
            </w:r>
            <w:r w:rsidR="00B44BBA">
              <w:rPr>
                <w:noProof/>
                <w:webHidden/>
              </w:rPr>
              <w:fldChar w:fldCharType="begin"/>
            </w:r>
            <w:r w:rsidR="00B44BBA">
              <w:rPr>
                <w:noProof/>
                <w:webHidden/>
              </w:rPr>
              <w:instrText xml:space="preserve"> PAGEREF _Toc14174501 \h </w:instrText>
            </w:r>
            <w:r w:rsidR="00B44BBA">
              <w:rPr>
                <w:noProof/>
                <w:webHidden/>
              </w:rPr>
            </w:r>
            <w:r w:rsidR="00B44BBA">
              <w:rPr>
                <w:noProof/>
                <w:webHidden/>
              </w:rPr>
              <w:fldChar w:fldCharType="separate"/>
            </w:r>
            <w:r w:rsidR="00B44BBA">
              <w:rPr>
                <w:noProof/>
                <w:webHidden/>
              </w:rPr>
              <w:t>8</w:t>
            </w:r>
            <w:r w:rsidR="00B44BBA">
              <w:rPr>
                <w:noProof/>
                <w:webHidden/>
              </w:rPr>
              <w:fldChar w:fldCharType="end"/>
            </w:r>
          </w:hyperlink>
        </w:p>
        <w:p w14:paraId="7859DAB3" w14:textId="5813FB35" w:rsidR="00B44BBA" w:rsidRDefault="00DB3FFB">
          <w:pPr>
            <w:pStyle w:val="TOC2"/>
            <w:tabs>
              <w:tab w:val="right" w:leader="dot" w:pos="9016"/>
            </w:tabs>
            <w:rPr>
              <w:rFonts w:eastAsiaTheme="minorEastAsia"/>
              <w:noProof/>
              <w:lang w:eastAsia="en-GB"/>
            </w:rPr>
          </w:pPr>
          <w:hyperlink w:anchor="_Toc14174502" w:history="1">
            <w:r w:rsidR="00B44BBA" w:rsidRPr="00710BFF">
              <w:rPr>
                <w:rStyle w:val="Hyperlink"/>
                <w:noProof/>
              </w:rPr>
              <w:t>3.2. Associated Risks With Pressure Reduction Using CLRT</w:t>
            </w:r>
            <w:r w:rsidR="00B44BBA">
              <w:rPr>
                <w:noProof/>
                <w:webHidden/>
              </w:rPr>
              <w:tab/>
            </w:r>
            <w:r w:rsidR="00B44BBA">
              <w:rPr>
                <w:noProof/>
                <w:webHidden/>
              </w:rPr>
              <w:fldChar w:fldCharType="begin"/>
            </w:r>
            <w:r w:rsidR="00B44BBA">
              <w:rPr>
                <w:noProof/>
                <w:webHidden/>
              </w:rPr>
              <w:instrText xml:space="preserve"> PAGEREF _Toc14174502 \h </w:instrText>
            </w:r>
            <w:r w:rsidR="00B44BBA">
              <w:rPr>
                <w:noProof/>
                <w:webHidden/>
              </w:rPr>
            </w:r>
            <w:r w:rsidR="00B44BBA">
              <w:rPr>
                <w:noProof/>
                <w:webHidden/>
              </w:rPr>
              <w:fldChar w:fldCharType="separate"/>
            </w:r>
            <w:r w:rsidR="00B44BBA">
              <w:rPr>
                <w:noProof/>
                <w:webHidden/>
              </w:rPr>
              <w:t>9</w:t>
            </w:r>
            <w:r w:rsidR="00B44BBA">
              <w:rPr>
                <w:noProof/>
                <w:webHidden/>
              </w:rPr>
              <w:fldChar w:fldCharType="end"/>
            </w:r>
          </w:hyperlink>
        </w:p>
        <w:p w14:paraId="2A280010" w14:textId="156B45EF" w:rsidR="00B44BBA" w:rsidRDefault="00DB3FFB">
          <w:pPr>
            <w:pStyle w:val="TOC3"/>
            <w:tabs>
              <w:tab w:val="right" w:leader="dot" w:pos="9016"/>
            </w:tabs>
            <w:rPr>
              <w:rFonts w:eastAsiaTheme="minorEastAsia"/>
              <w:noProof/>
              <w:lang w:eastAsia="en-GB"/>
            </w:rPr>
          </w:pPr>
          <w:hyperlink w:anchor="_Toc14174503" w:history="1">
            <w:r w:rsidR="00B44BBA" w:rsidRPr="00710BFF">
              <w:rPr>
                <w:rStyle w:val="Hyperlink"/>
                <w:noProof/>
              </w:rPr>
              <w:t>3.2.1. Nursing Intervention</w:t>
            </w:r>
            <w:r w:rsidR="00B44BBA">
              <w:rPr>
                <w:noProof/>
                <w:webHidden/>
              </w:rPr>
              <w:tab/>
            </w:r>
            <w:r w:rsidR="00B44BBA">
              <w:rPr>
                <w:noProof/>
                <w:webHidden/>
              </w:rPr>
              <w:fldChar w:fldCharType="begin"/>
            </w:r>
            <w:r w:rsidR="00B44BBA">
              <w:rPr>
                <w:noProof/>
                <w:webHidden/>
              </w:rPr>
              <w:instrText xml:space="preserve"> PAGEREF _Toc14174503 \h </w:instrText>
            </w:r>
            <w:r w:rsidR="00B44BBA">
              <w:rPr>
                <w:noProof/>
                <w:webHidden/>
              </w:rPr>
            </w:r>
            <w:r w:rsidR="00B44BBA">
              <w:rPr>
                <w:noProof/>
                <w:webHidden/>
              </w:rPr>
              <w:fldChar w:fldCharType="separate"/>
            </w:r>
            <w:r w:rsidR="00B44BBA">
              <w:rPr>
                <w:noProof/>
                <w:webHidden/>
              </w:rPr>
              <w:t>9</w:t>
            </w:r>
            <w:r w:rsidR="00B44BBA">
              <w:rPr>
                <w:noProof/>
                <w:webHidden/>
              </w:rPr>
              <w:fldChar w:fldCharType="end"/>
            </w:r>
          </w:hyperlink>
        </w:p>
        <w:p w14:paraId="5B97232D" w14:textId="3E7887CA" w:rsidR="00B44BBA" w:rsidRDefault="00DB3FFB">
          <w:pPr>
            <w:pStyle w:val="TOC3"/>
            <w:tabs>
              <w:tab w:val="right" w:leader="dot" w:pos="9016"/>
            </w:tabs>
            <w:rPr>
              <w:rFonts w:eastAsiaTheme="minorEastAsia"/>
              <w:noProof/>
              <w:lang w:eastAsia="en-GB"/>
            </w:rPr>
          </w:pPr>
          <w:hyperlink w:anchor="_Toc14174504" w:history="1">
            <w:r w:rsidR="00B44BBA" w:rsidRPr="00710BFF">
              <w:rPr>
                <w:rStyle w:val="Hyperlink"/>
                <w:noProof/>
              </w:rPr>
              <w:t>3.2.2. Shear Injuries</w:t>
            </w:r>
            <w:r w:rsidR="00B44BBA">
              <w:rPr>
                <w:noProof/>
                <w:webHidden/>
              </w:rPr>
              <w:tab/>
            </w:r>
            <w:r w:rsidR="00B44BBA">
              <w:rPr>
                <w:noProof/>
                <w:webHidden/>
              </w:rPr>
              <w:fldChar w:fldCharType="begin"/>
            </w:r>
            <w:r w:rsidR="00B44BBA">
              <w:rPr>
                <w:noProof/>
                <w:webHidden/>
              </w:rPr>
              <w:instrText xml:space="preserve"> PAGEREF _Toc14174504 \h </w:instrText>
            </w:r>
            <w:r w:rsidR="00B44BBA">
              <w:rPr>
                <w:noProof/>
                <w:webHidden/>
              </w:rPr>
            </w:r>
            <w:r w:rsidR="00B44BBA">
              <w:rPr>
                <w:noProof/>
                <w:webHidden/>
              </w:rPr>
              <w:fldChar w:fldCharType="separate"/>
            </w:r>
            <w:r w:rsidR="00B44BBA">
              <w:rPr>
                <w:noProof/>
                <w:webHidden/>
              </w:rPr>
              <w:t>9</w:t>
            </w:r>
            <w:r w:rsidR="00B44BBA">
              <w:rPr>
                <w:noProof/>
                <w:webHidden/>
              </w:rPr>
              <w:fldChar w:fldCharType="end"/>
            </w:r>
          </w:hyperlink>
        </w:p>
        <w:p w14:paraId="502D6C7C" w14:textId="1D901F6F" w:rsidR="00B44BBA" w:rsidRDefault="00DB3FFB">
          <w:pPr>
            <w:pStyle w:val="TOC3"/>
            <w:tabs>
              <w:tab w:val="right" w:leader="dot" w:pos="9016"/>
            </w:tabs>
            <w:rPr>
              <w:rFonts w:eastAsiaTheme="minorEastAsia"/>
              <w:noProof/>
              <w:lang w:eastAsia="en-GB"/>
            </w:rPr>
          </w:pPr>
          <w:hyperlink w:anchor="_Toc14174505" w:history="1">
            <w:r w:rsidR="00B44BBA" w:rsidRPr="00710BFF">
              <w:rPr>
                <w:rStyle w:val="Hyperlink"/>
                <w:noProof/>
              </w:rPr>
              <w:t>3.2.3. Pressure increased in certain areas</w:t>
            </w:r>
            <w:r w:rsidR="00B44BBA">
              <w:rPr>
                <w:noProof/>
                <w:webHidden/>
              </w:rPr>
              <w:tab/>
            </w:r>
            <w:r w:rsidR="00B44BBA">
              <w:rPr>
                <w:noProof/>
                <w:webHidden/>
              </w:rPr>
              <w:fldChar w:fldCharType="begin"/>
            </w:r>
            <w:r w:rsidR="00B44BBA">
              <w:rPr>
                <w:noProof/>
                <w:webHidden/>
              </w:rPr>
              <w:instrText xml:space="preserve"> PAGEREF _Toc14174505 \h </w:instrText>
            </w:r>
            <w:r w:rsidR="00B44BBA">
              <w:rPr>
                <w:noProof/>
                <w:webHidden/>
              </w:rPr>
            </w:r>
            <w:r w:rsidR="00B44BBA">
              <w:rPr>
                <w:noProof/>
                <w:webHidden/>
              </w:rPr>
              <w:fldChar w:fldCharType="separate"/>
            </w:r>
            <w:r w:rsidR="00B44BBA">
              <w:rPr>
                <w:noProof/>
                <w:webHidden/>
              </w:rPr>
              <w:t>10</w:t>
            </w:r>
            <w:r w:rsidR="00B44BBA">
              <w:rPr>
                <w:noProof/>
                <w:webHidden/>
              </w:rPr>
              <w:fldChar w:fldCharType="end"/>
            </w:r>
          </w:hyperlink>
        </w:p>
        <w:p w14:paraId="79A7A38A" w14:textId="6FE5235C" w:rsidR="00B44BBA" w:rsidRDefault="00DB3FFB">
          <w:pPr>
            <w:pStyle w:val="TOC1"/>
            <w:tabs>
              <w:tab w:val="right" w:leader="dot" w:pos="9016"/>
            </w:tabs>
            <w:rPr>
              <w:rFonts w:eastAsiaTheme="minorEastAsia"/>
              <w:noProof/>
              <w:lang w:eastAsia="en-GB"/>
            </w:rPr>
          </w:pPr>
          <w:hyperlink w:anchor="_Toc14174506" w:history="1">
            <w:r w:rsidR="00B44BBA" w:rsidRPr="00710BFF">
              <w:rPr>
                <w:rStyle w:val="Hyperlink"/>
                <w:noProof/>
              </w:rPr>
              <w:t>4. CONCLUSIONS</w:t>
            </w:r>
            <w:r w:rsidR="00B44BBA">
              <w:rPr>
                <w:noProof/>
                <w:webHidden/>
              </w:rPr>
              <w:tab/>
            </w:r>
            <w:r w:rsidR="00B44BBA">
              <w:rPr>
                <w:noProof/>
                <w:webHidden/>
              </w:rPr>
              <w:fldChar w:fldCharType="begin"/>
            </w:r>
            <w:r w:rsidR="00B44BBA">
              <w:rPr>
                <w:noProof/>
                <w:webHidden/>
              </w:rPr>
              <w:instrText xml:space="preserve"> PAGEREF _Toc14174506 \h </w:instrText>
            </w:r>
            <w:r w:rsidR="00B44BBA">
              <w:rPr>
                <w:noProof/>
                <w:webHidden/>
              </w:rPr>
            </w:r>
            <w:r w:rsidR="00B44BBA">
              <w:rPr>
                <w:noProof/>
                <w:webHidden/>
              </w:rPr>
              <w:fldChar w:fldCharType="separate"/>
            </w:r>
            <w:r w:rsidR="00B44BBA">
              <w:rPr>
                <w:noProof/>
                <w:webHidden/>
              </w:rPr>
              <w:t>10</w:t>
            </w:r>
            <w:r w:rsidR="00B44BBA">
              <w:rPr>
                <w:noProof/>
                <w:webHidden/>
              </w:rPr>
              <w:fldChar w:fldCharType="end"/>
            </w:r>
          </w:hyperlink>
        </w:p>
        <w:p w14:paraId="2F39E4D0" w14:textId="4DE1CF30" w:rsidR="00B44BBA" w:rsidRDefault="00DB3FFB">
          <w:pPr>
            <w:pStyle w:val="TOC1"/>
            <w:tabs>
              <w:tab w:val="right" w:leader="dot" w:pos="9016"/>
            </w:tabs>
            <w:rPr>
              <w:rFonts w:eastAsiaTheme="minorEastAsia"/>
              <w:noProof/>
              <w:lang w:eastAsia="en-GB"/>
            </w:rPr>
          </w:pPr>
          <w:hyperlink w:anchor="_Toc14174507" w:history="1">
            <w:r w:rsidR="00B44BBA" w:rsidRPr="00710BFF">
              <w:rPr>
                <w:rStyle w:val="Hyperlink"/>
                <w:noProof/>
              </w:rPr>
              <w:t>5. BIBLIOGRAPHY</w:t>
            </w:r>
            <w:r w:rsidR="00B44BBA">
              <w:rPr>
                <w:noProof/>
                <w:webHidden/>
              </w:rPr>
              <w:tab/>
            </w:r>
            <w:r w:rsidR="00B44BBA">
              <w:rPr>
                <w:noProof/>
                <w:webHidden/>
              </w:rPr>
              <w:fldChar w:fldCharType="begin"/>
            </w:r>
            <w:r w:rsidR="00B44BBA">
              <w:rPr>
                <w:noProof/>
                <w:webHidden/>
              </w:rPr>
              <w:instrText xml:space="preserve"> PAGEREF _Toc14174507 \h </w:instrText>
            </w:r>
            <w:r w:rsidR="00B44BBA">
              <w:rPr>
                <w:noProof/>
                <w:webHidden/>
              </w:rPr>
            </w:r>
            <w:r w:rsidR="00B44BBA">
              <w:rPr>
                <w:noProof/>
                <w:webHidden/>
              </w:rPr>
              <w:fldChar w:fldCharType="separate"/>
            </w:r>
            <w:r w:rsidR="00B44BBA">
              <w:rPr>
                <w:noProof/>
                <w:webHidden/>
              </w:rPr>
              <w:t>11</w:t>
            </w:r>
            <w:r w:rsidR="00B44BBA">
              <w:rPr>
                <w:noProof/>
                <w:webHidden/>
              </w:rPr>
              <w:fldChar w:fldCharType="end"/>
            </w:r>
          </w:hyperlink>
        </w:p>
        <w:p w14:paraId="4C6889CB" w14:textId="1A06FAEF" w:rsidR="00B1091E" w:rsidRDefault="00B1091E">
          <w:r>
            <w:rPr>
              <w:b/>
              <w:bCs/>
              <w:noProof/>
            </w:rPr>
            <w:fldChar w:fldCharType="end"/>
          </w:r>
        </w:p>
      </w:sdtContent>
    </w:sdt>
    <w:p w14:paraId="5D9D1263" w14:textId="77777777" w:rsidR="009E0A03" w:rsidRDefault="009E0A03">
      <w:pPr>
        <w:rPr>
          <w:rFonts w:asciiTheme="majorHAnsi" w:eastAsiaTheme="majorEastAsia" w:hAnsiTheme="majorHAnsi" w:cstheme="majorBidi"/>
          <w:b/>
          <w:caps/>
          <w:sz w:val="28"/>
          <w:szCs w:val="32"/>
        </w:rPr>
      </w:pPr>
      <w:bookmarkStart w:id="0" w:name="_Toc5873912"/>
      <w:r>
        <w:br w:type="page"/>
      </w:r>
    </w:p>
    <w:p w14:paraId="650BFDCF" w14:textId="0120AD18" w:rsidR="00EE7D1A" w:rsidRDefault="00803FEE" w:rsidP="00EE7D1A">
      <w:pPr>
        <w:pStyle w:val="Heading1"/>
      </w:pPr>
      <w:bookmarkStart w:id="1" w:name="_Toc14174495"/>
      <w:r>
        <w:lastRenderedPageBreak/>
        <w:t xml:space="preserve">1. </w:t>
      </w:r>
      <w:r w:rsidR="00EE7D1A">
        <w:t>INTRODUCTION</w:t>
      </w:r>
      <w:bookmarkEnd w:id="1"/>
      <w:r w:rsidR="00EE7D1A">
        <w:t xml:space="preserve"> </w:t>
      </w:r>
    </w:p>
    <w:p w14:paraId="4A85AA23" w14:textId="7EEB072B" w:rsidR="00EE7D1A" w:rsidRDefault="00EE7D1A" w:rsidP="00EE7D1A">
      <w:r>
        <w:t>Literature on Continuous Lateral Rotational Therapy (CLRT) has been reviewed to gain an understanding of its uses, it’s limitations and the best way to ensure that the product developed is acceptable for the intended use. Literature on pressure ulcers</w:t>
      </w:r>
      <w:r w:rsidR="00195EF4">
        <w:t>, specifically preventative solutions through Al</w:t>
      </w:r>
      <w:r w:rsidR="001A6DE6">
        <w:t>ternating Pressure Air Mattresses (APAMs),</w:t>
      </w:r>
      <w:r>
        <w:t xml:space="preserve"> was not </w:t>
      </w:r>
      <w:r w:rsidR="00195EF4">
        <w:t>neces</w:t>
      </w:r>
      <w:r w:rsidR="001A6DE6">
        <w:t>s</w:t>
      </w:r>
      <w:r w:rsidR="00195EF4">
        <w:t xml:space="preserve">arily </w:t>
      </w:r>
      <w:r>
        <w:t xml:space="preserve">needed for this development project as this information is inherent to previous projects and is controlled by the NoDec Wizard </w:t>
      </w:r>
      <w:r w:rsidR="00B34A96">
        <w:t xml:space="preserve">software / </w:t>
      </w:r>
      <w:r>
        <w:t xml:space="preserve">control unit. </w:t>
      </w:r>
      <w:r w:rsidR="00B34A96">
        <w:t>The angle of the mattress is not software controlled and is</w:t>
      </w:r>
      <w:r w:rsidR="00B34A96" w:rsidRPr="00B34A96">
        <w:t xml:space="preserve"> </w:t>
      </w:r>
      <w:r w:rsidR="00B34A96">
        <w:t>integral to the air cell design, hence the review of specific CLRT literature.</w:t>
      </w:r>
      <w:r w:rsidR="00836C3C">
        <w:t xml:space="preserve"> </w:t>
      </w:r>
    </w:p>
    <w:p w14:paraId="197EE646" w14:textId="2C6D583B" w:rsidR="00836C3C" w:rsidRDefault="00836C3C" w:rsidP="00EE7D1A">
      <w:r>
        <w:t xml:space="preserve">The literature has been evaluated with the intention of </w:t>
      </w:r>
      <w:r w:rsidR="00874873">
        <w:t>analysing</w:t>
      </w:r>
      <w:r>
        <w:t xml:space="preserve"> the clinical feasibility of the development project, the potential clinical risks </w:t>
      </w:r>
      <w:r w:rsidR="00874873">
        <w:t>and specific product requirements.</w:t>
      </w:r>
    </w:p>
    <w:p w14:paraId="72F1D224" w14:textId="77777777" w:rsidR="001A6DE6" w:rsidRPr="00EE7D1A" w:rsidRDefault="001A6DE6" w:rsidP="00EE7D1A"/>
    <w:p w14:paraId="27C3B6C0" w14:textId="2128DA70" w:rsidR="00803FEE" w:rsidRDefault="00EE7D1A" w:rsidP="00803FEE">
      <w:pPr>
        <w:pStyle w:val="Heading1"/>
      </w:pPr>
      <w:bookmarkStart w:id="2" w:name="_Toc14174496"/>
      <w:r>
        <w:t xml:space="preserve">2. </w:t>
      </w:r>
      <w:r w:rsidR="005B4277">
        <w:t>ROTATION THERAPY</w:t>
      </w:r>
      <w:bookmarkEnd w:id="0"/>
      <w:bookmarkEnd w:id="2"/>
    </w:p>
    <w:p w14:paraId="57BF967A" w14:textId="6CBEAD41" w:rsidR="009E0A03" w:rsidRPr="009E0A03" w:rsidRDefault="009E0A03" w:rsidP="009E0A03">
      <w:pPr>
        <w:pStyle w:val="Heading2"/>
      </w:pPr>
      <w:bookmarkStart w:id="3" w:name="_Toc14174497"/>
      <w:r>
        <w:t>2.1. Introduction to Continuous Lateral Rotational Therapy</w:t>
      </w:r>
      <w:bookmarkEnd w:id="3"/>
    </w:p>
    <w:p w14:paraId="58555FFB" w14:textId="1EA657E3" w:rsidR="00D668D3" w:rsidRDefault="00647EB5" w:rsidP="00D668D3">
      <w:r>
        <w:t xml:space="preserve">Immobility impairs cough and </w:t>
      </w:r>
      <w:proofErr w:type="spellStart"/>
      <w:r>
        <w:t>muco</w:t>
      </w:r>
      <w:r w:rsidR="00C032DD">
        <w:t>c</w:t>
      </w:r>
      <w:r>
        <w:t>iliary</w:t>
      </w:r>
      <w:proofErr w:type="spellEnd"/>
      <w:r>
        <w:t xml:space="preserve"> clearance in patients receiving mechanical ventilation, thereby promoting retention of secretions (</w:t>
      </w:r>
      <w:proofErr w:type="spellStart"/>
      <w:r>
        <w:t>Raoof</w:t>
      </w:r>
      <w:proofErr w:type="spellEnd"/>
      <w:r>
        <w:t xml:space="preserve"> et al, 1999). </w:t>
      </w:r>
      <w:r w:rsidR="00D668D3">
        <w:t xml:space="preserve">It is estimated that between 10% and 28% of patients admitted to intensive care unit (ICU) develop a nosocomial pneumonia related to being mechanically ventilated, also known as ventilator-associated pneumonia (VAP). Some studies show that this can incur an extra 28% in length of stay </w:t>
      </w:r>
      <w:r w:rsidR="00D668D3" w:rsidRPr="00D668D3">
        <w:rPr>
          <w:strike/>
        </w:rPr>
        <w:t>a</w:t>
      </w:r>
      <w:r w:rsidR="00D668D3" w:rsidRPr="00C41DC6">
        <w:t>nd £6,000 - £22,000 in extra financial cost (</w:t>
      </w:r>
      <w:r w:rsidR="00D668D3">
        <w:t>Wanless and Aldridge, 2011).</w:t>
      </w:r>
    </w:p>
    <w:p w14:paraId="7AE2BCA3" w14:textId="3A8111E7" w:rsidR="005B4277" w:rsidRDefault="001A6DE6" w:rsidP="00ED23DE">
      <w:r>
        <w:t xml:space="preserve">It has long been recognised that </w:t>
      </w:r>
      <w:r w:rsidR="00B26566">
        <w:t>t</w:t>
      </w:r>
      <w:r>
        <w:t xml:space="preserve">urning the patient </w:t>
      </w:r>
      <w:r w:rsidR="00B26566">
        <w:t>at various angles helps to treat acutely injured lungs</w:t>
      </w:r>
      <w:r w:rsidR="00C41DC6">
        <w:t>,</w:t>
      </w:r>
      <w:r w:rsidR="00B26566">
        <w:t xml:space="preserve"> </w:t>
      </w:r>
      <w:r w:rsidR="00C41DC6">
        <w:t xml:space="preserve">such as airway closure and atelectasis, </w:t>
      </w:r>
      <w:r w:rsidR="00B26566">
        <w:t>and avoid pulmonary complications</w:t>
      </w:r>
      <w:r w:rsidR="00C41DC6">
        <w:t>,</w:t>
      </w:r>
      <w:r w:rsidR="00B26566">
        <w:t xml:space="preserve"> such as ventilator-associated pneumonia (VAP)</w:t>
      </w:r>
      <w:r w:rsidR="00C41DC6">
        <w:t>, pooling and stagnation of secretions</w:t>
      </w:r>
      <w:r w:rsidR="004132DC">
        <w:t xml:space="preserve"> and lymphatic damage</w:t>
      </w:r>
      <w:r w:rsidR="00C41DC6">
        <w:t xml:space="preserve"> </w:t>
      </w:r>
      <w:r w:rsidR="00C41DC6" w:rsidRPr="00C41DC6">
        <w:t>(</w:t>
      </w:r>
      <w:r w:rsidR="00C41DC6">
        <w:t xml:space="preserve">Wanless &amp; Aldridge, 2011, </w:t>
      </w:r>
      <w:proofErr w:type="spellStart"/>
      <w:r w:rsidR="00C41DC6">
        <w:t>Clini</w:t>
      </w:r>
      <w:proofErr w:type="spellEnd"/>
      <w:r w:rsidR="00C41DC6">
        <w:t xml:space="preserve"> &amp; </w:t>
      </w:r>
      <w:proofErr w:type="spellStart"/>
      <w:r w:rsidR="00C41DC6">
        <w:t>Ambrosino</w:t>
      </w:r>
      <w:proofErr w:type="spellEnd"/>
      <w:r w:rsidR="00C41DC6">
        <w:t>, 2004).</w:t>
      </w:r>
      <w:r w:rsidR="00B26566">
        <w:t xml:space="preserve"> Putting the patients at various </w:t>
      </w:r>
      <w:r w:rsidR="00810A95">
        <w:t xml:space="preserve">lateral </w:t>
      </w:r>
      <w:r w:rsidR="00B26566">
        <w:t>angles</w:t>
      </w:r>
      <w:r w:rsidR="00810A95">
        <w:t xml:space="preserve"> as opposed to supine</w:t>
      </w:r>
      <w:r w:rsidR="00B26566">
        <w:t xml:space="preserve"> helps improve gas exchange, mobilise secretions in the lungs and improve </w:t>
      </w:r>
      <w:r w:rsidR="00D668D3">
        <w:t>lymphatic</w:t>
      </w:r>
      <w:r w:rsidR="00B26566">
        <w:t xml:space="preserve"> damage. Typically, this involves, though technically difficult to do, placing the patients prone. This is quite aggressive turning therapy and, as found by </w:t>
      </w:r>
      <w:proofErr w:type="spellStart"/>
      <w:r w:rsidR="00B26566">
        <w:t>Silpasupagornwongse</w:t>
      </w:r>
      <w:proofErr w:type="spellEnd"/>
      <w:r w:rsidR="00B26566">
        <w:t xml:space="preserve"> et al (2006), very physically strenuous on the nursing staff</w:t>
      </w:r>
      <w:r w:rsidR="00D668D3">
        <w:t xml:space="preserve"> – more than 85% of nurses developing lower back pain after starting work.</w:t>
      </w:r>
      <w:r w:rsidR="00B26566">
        <w:t xml:space="preserve"> </w:t>
      </w:r>
    </w:p>
    <w:p w14:paraId="1513D613" w14:textId="77777777" w:rsidR="004132DC" w:rsidRDefault="00D668D3" w:rsidP="00ED23DE">
      <w:r>
        <w:t>Less aggressive forms of turning include kinetic therapy, in which patients are rotated from side to side in a turn of at least 40° (80° total arc) and continuous lateral rotational therapy (CLRT), where patients are rotated from side to side in a turn of less than 40°</w:t>
      </w:r>
      <w:r w:rsidR="00C41DC6">
        <w:t xml:space="preserve"> (Ahrens et al, 2004). </w:t>
      </w:r>
    </w:p>
    <w:p w14:paraId="4A8B54BD" w14:textId="77777777" w:rsidR="00B8379A" w:rsidRDefault="00C41DC6" w:rsidP="00ED23DE">
      <w:r>
        <w:t>Generally speaking, therapy with beds that intermittently or continuously rotate patients along their longitudinal axis by 30° or more have gained acceptance in the care of critically ill patients (</w:t>
      </w:r>
      <w:proofErr w:type="spellStart"/>
      <w:r>
        <w:t>Raoof</w:t>
      </w:r>
      <w:proofErr w:type="spellEnd"/>
      <w:r>
        <w:t xml:space="preserve"> et al, 1999).</w:t>
      </w:r>
      <w:r w:rsidR="00BA1C82">
        <w:t xml:space="preserve"> Certainly, </w:t>
      </w:r>
      <w:proofErr w:type="spellStart"/>
      <w:r w:rsidR="00BA1C82">
        <w:t>Sahn’s</w:t>
      </w:r>
      <w:proofErr w:type="spellEnd"/>
      <w:r w:rsidR="00BA1C82">
        <w:t xml:space="preserve"> (1991) findings that the early use of rotational therapy </w:t>
      </w:r>
      <w:r w:rsidR="00B8379A">
        <w:t xml:space="preserve">(7-14 days within admission) </w:t>
      </w:r>
      <w:r w:rsidR="00BA1C82">
        <w:t xml:space="preserve">in immobile patients </w:t>
      </w:r>
      <w:r w:rsidR="004132DC">
        <w:t>decreases</w:t>
      </w:r>
      <w:r w:rsidR="00BA1C82">
        <w:t xml:space="preserve"> the incidence of pneumonia are echoed by the National Institute for Clinical Excellence </w:t>
      </w:r>
      <w:r w:rsidR="004132DC">
        <w:t xml:space="preserve">(NICE, 2008) </w:t>
      </w:r>
      <w:r w:rsidR="00BA1C82">
        <w:t>in their published guidance on ventilation associated pneumonia</w:t>
      </w:r>
      <w:r w:rsidR="004132DC" w:rsidRPr="004132DC">
        <w:t xml:space="preserve"> </w:t>
      </w:r>
      <w:r w:rsidR="004132DC">
        <w:t xml:space="preserve">(Wanless &amp; </w:t>
      </w:r>
      <w:proofErr w:type="spellStart"/>
      <w:r w:rsidR="004132DC">
        <w:t>Aldrige</w:t>
      </w:r>
      <w:proofErr w:type="spellEnd"/>
      <w:r w:rsidR="004132DC">
        <w:t xml:space="preserve">, 2011). </w:t>
      </w:r>
    </w:p>
    <w:p w14:paraId="4EEF4B8E" w14:textId="5293362F" w:rsidR="00BA1C82" w:rsidRDefault="00B8379A" w:rsidP="00ED23DE">
      <w:r>
        <w:lastRenderedPageBreak/>
        <w:t xml:space="preserve">Early use of rotation therapy, i.e. 48 hours, which involves both manual postural changes and passive mobilization also reduces incidence of </w:t>
      </w:r>
      <w:proofErr w:type="spellStart"/>
      <w:r>
        <w:t>nosocial</w:t>
      </w:r>
      <w:proofErr w:type="spellEnd"/>
      <w:r>
        <w:t xml:space="preserve"> pneumonia / VAP with patients who have suffered with ischemic stroke (</w:t>
      </w:r>
      <w:proofErr w:type="spellStart"/>
      <w:r>
        <w:t>Cuesy</w:t>
      </w:r>
      <w:proofErr w:type="spellEnd"/>
      <w:r>
        <w:t>, Sotomayor &amp; Piña, 2010).</w:t>
      </w:r>
    </w:p>
    <w:p w14:paraId="7286E78F" w14:textId="407E718A" w:rsidR="000C3531" w:rsidRDefault="000C3531" w:rsidP="000C3531">
      <w:r>
        <w:t xml:space="preserve">According to </w:t>
      </w:r>
      <w:proofErr w:type="spellStart"/>
      <w:r>
        <w:t>Uttarachon</w:t>
      </w:r>
      <w:proofErr w:type="spellEnd"/>
      <w:r>
        <w:t xml:space="preserve"> et al (2019), however, special turning / rotation beds are very costly and not always available in low – and middle – income countries (LMCs).</w:t>
      </w:r>
    </w:p>
    <w:p w14:paraId="79140D27" w14:textId="77777777" w:rsidR="00B04802" w:rsidRDefault="00B04802" w:rsidP="00ED23DE"/>
    <w:p w14:paraId="302393F1" w14:textId="26F2A708" w:rsidR="009E0A03" w:rsidRDefault="009E0A03" w:rsidP="00686C84">
      <w:pPr>
        <w:pStyle w:val="Heading2"/>
      </w:pPr>
      <w:bookmarkStart w:id="4" w:name="_Toc14174498"/>
      <w:r>
        <w:t xml:space="preserve">2.2. </w:t>
      </w:r>
      <w:r w:rsidR="00B04802">
        <w:t xml:space="preserve">Clinical </w:t>
      </w:r>
      <w:r w:rsidR="00686C84">
        <w:t>Benefits of CLRT</w:t>
      </w:r>
      <w:bookmarkEnd w:id="4"/>
      <w:r w:rsidR="00686C84">
        <w:t xml:space="preserve"> </w:t>
      </w:r>
    </w:p>
    <w:p w14:paraId="496A7F3E" w14:textId="0C97299E" w:rsidR="004B1F88" w:rsidRDefault="004B1F88" w:rsidP="004B1F88">
      <w:r>
        <w:t xml:space="preserve">According to Anderson and </w:t>
      </w:r>
      <w:proofErr w:type="spellStart"/>
      <w:r>
        <w:t>Rappl</w:t>
      </w:r>
      <w:proofErr w:type="spellEnd"/>
      <w:r>
        <w:t xml:space="preserve"> (2004), specialised mattresses and beds for laterally rotating patients have been used for more than 30 years, mainly in the prevention and treatment of cardio-respiratory conditions in ICU patients.</w:t>
      </w:r>
    </w:p>
    <w:p w14:paraId="229B83F2" w14:textId="41CA0D9D" w:rsidR="004132DC" w:rsidRDefault="004B1F88" w:rsidP="00ED23DE">
      <w:r w:rsidRPr="004B1F88">
        <w:t>The effect of CLRT on pulmonary outcomes is well-known in literature. Four studies from 1999 to 2012 demonstrate a statistically significant decrease in VAP rates when CLRT was implemented as compared to patients who were manually repositioned</w:t>
      </w:r>
      <w:r>
        <w:t xml:space="preserve"> (Anderson et al, 2016). This being said, kinetic therapy has been investigated more frequently with more detailed studies. CLRT has been investigated in a manner similar to kinetic therapy, but with fewer studies with generally smaller sample sizes (Anderson and </w:t>
      </w:r>
      <w:proofErr w:type="spellStart"/>
      <w:r>
        <w:t>Rappl</w:t>
      </w:r>
      <w:proofErr w:type="spellEnd"/>
      <w:r>
        <w:t>, 2004).</w:t>
      </w:r>
    </w:p>
    <w:p w14:paraId="729DF0AA" w14:textId="71F4F332" w:rsidR="00686C84" w:rsidRDefault="00171EFA">
      <w:r>
        <w:t>Wanless and Aldridge state that “Although the studies have small sample sizes and some methodological difficulties, most studies have reached similar conclusions. CLRT, when used appropriately, reduces the incidence of atelectasis, nosocomial pneumonia, time on the mechanical ventilator and length of stay in an ICU, making it beneficial and cost effective.” (2011)</w:t>
      </w:r>
    </w:p>
    <w:p w14:paraId="5D22C2AB" w14:textId="31DA2A1A" w:rsidR="00171EFA" w:rsidRDefault="00171EFA"/>
    <w:p w14:paraId="198DF9DE" w14:textId="36E3DBED" w:rsidR="00171EFA" w:rsidRDefault="00171EFA">
      <w:r>
        <w:t>Goldhill’s et al (2007) review and meta-analysis of the literature places the various benefits of into a comprehensible table:</w:t>
      </w:r>
    </w:p>
    <w:tbl>
      <w:tblPr>
        <w:tblStyle w:val="TableGrid"/>
        <w:tblW w:w="10632" w:type="dxa"/>
        <w:tblInd w:w="-714" w:type="dxa"/>
        <w:tblLook w:val="04A0" w:firstRow="1" w:lastRow="0" w:firstColumn="1" w:lastColumn="0" w:noHBand="0" w:noVBand="1"/>
      </w:tblPr>
      <w:tblGrid>
        <w:gridCol w:w="2269"/>
        <w:gridCol w:w="1559"/>
        <w:gridCol w:w="1276"/>
        <w:gridCol w:w="1134"/>
        <w:gridCol w:w="1275"/>
        <w:gridCol w:w="3119"/>
      </w:tblGrid>
      <w:tr w:rsidR="00762245" w14:paraId="797C8544" w14:textId="77777777" w:rsidTr="00762245">
        <w:trPr>
          <w:trHeight w:val="299"/>
        </w:trPr>
        <w:tc>
          <w:tcPr>
            <w:tcW w:w="2269" w:type="dxa"/>
            <w:vMerge w:val="restart"/>
            <w:tcBorders>
              <w:top w:val="single" w:sz="4" w:space="0" w:color="auto"/>
              <w:left w:val="single" w:sz="4" w:space="0" w:color="auto"/>
              <w:right w:val="single" w:sz="4" w:space="0" w:color="auto"/>
            </w:tcBorders>
          </w:tcPr>
          <w:p w14:paraId="25C2ECEC" w14:textId="3C640483" w:rsidR="00762245" w:rsidRPr="00762245" w:rsidRDefault="00762245" w:rsidP="00762245">
            <w:pPr>
              <w:jc w:val="center"/>
              <w:rPr>
                <w:b/>
                <w:bCs/>
              </w:rPr>
            </w:pPr>
            <w:r w:rsidRPr="00762245">
              <w:rPr>
                <w:b/>
                <w:bCs/>
              </w:rPr>
              <w:t>Study / Reference</w:t>
            </w:r>
          </w:p>
        </w:tc>
        <w:tc>
          <w:tcPr>
            <w:tcW w:w="1559" w:type="dxa"/>
            <w:vMerge w:val="restart"/>
            <w:tcBorders>
              <w:top w:val="single" w:sz="4" w:space="0" w:color="auto"/>
              <w:left w:val="single" w:sz="4" w:space="0" w:color="auto"/>
              <w:right w:val="single" w:sz="4" w:space="0" w:color="auto"/>
            </w:tcBorders>
          </w:tcPr>
          <w:p w14:paraId="4207F380" w14:textId="77E5BBC2" w:rsidR="00762245" w:rsidRPr="00762245" w:rsidRDefault="00762245" w:rsidP="00762245">
            <w:pPr>
              <w:jc w:val="center"/>
              <w:rPr>
                <w:b/>
                <w:bCs/>
              </w:rPr>
            </w:pPr>
            <w:r w:rsidRPr="00762245">
              <w:rPr>
                <w:b/>
                <w:bCs/>
              </w:rPr>
              <w:t>Control</w:t>
            </w:r>
          </w:p>
        </w:tc>
        <w:tc>
          <w:tcPr>
            <w:tcW w:w="3685" w:type="dxa"/>
            <w:gridSpan w:val="3"/>
            <w:tcBorders>
              <w:top w:val="single" w:sz="4" w:space="0" w:color="auto"/>
              <w:left w:val="single" w:sz="4" w:space="0" w:color="auto"/>
              <w:bottom w:val="single" w:sz="4" w:space="0" w:color="auto"/>
              <w:right w:val="single" w:sz="4" w:space="0" w:color="auto"/>
            </w:tcBorders>
          </w:tcPr>
          <w:p w14:paraId="46154034" w14:textId="77777777" w:rsidR="00762245" w:rsidRPr="00762245" w:rsidRDefault="00762245" w:rsidP="00383406">
            <w:pPr>
              <w:jc w:val="center"/>
              <w:rPr>
                <w:b/>
                <w:bCs/>
              </w:rPr>
            </w:pPr>
            <w:r w:rsidRPr="00762245">
              <w:rPr>
                <w:b/>
                <w:bCs/>
              </w:rPr>
              <w:t>Intervention</w:t>
            </w:r>
          </w:p>
        </w:tc>
        <w:tc>
          <w:tcPr>
            <w:tcW w:w="3119" w:type="dxa"/>
            <w:vMerge w:val="restart"/>
            <w:tcBorders>
              <w:top w:val="single" w:sz="4" w:space="0" w:color="auto"/>
              <w:left w:val="single" w:sz="4" w:space="0" w:color="auto"/>
              <w:right w:val="single" w:sz="4" w:space="0" w:color="auto"/>
            </w:tcBorders>
          </w:tcPr>
          <w:p w14:paraId="384CE867" w14:textId="36F1C1C5" w:rsidR="00762245" w:rsidRPr="00762245" w:rsidRDefault="00762245" w:rsidP="00762245">
            <w:pPr>
              <w:jc w:val="center"/>
              <w:rPr>
                <w:b/>
                <w:bCs/>
              </w:rPr>
            </w:pPr>
            <w:r w:rsidRPr="00762245">
              <w:rPr>
                <w:b/>
                <w:bCs/>
              </w:rPr>
              <w:t>Significant differences between treatment and control groups</w:t>
            </w:r>
          </w:p>
        </w:tc>
      </w:tr>
      <w:tr w:rsidR="00762245" w14:paraId="13EB763A" w14:textId="77777777" w:rsidTr="0065242D">
        <w:trPr>
          <w:trHeight w:val="299"/>
        </w:trPr>
        <w:tc>
          <w:tcPr>
            <w:tcW w:w="2269" w:type="dxa"/>
            <w:vMerge/>
            <w:vAlign w:val="center"/>
          </w:tcPr>
          <w:p w14:paraId="39117757" w14:textId="085EEAD8" w:rsidR="00762245" w:rsidRDefault="00762245" w:rsidP="00383406"/>
        </w:tc>
        <w:tc>
          <w:tcPr>
            <w:tcW w:w="1559" w:type="dxa"/>
            <w:vMerge/>
            <w:tcBorders>
              <w:right w:val="single" w:sz="4" w:space="0" w:color="auto"/>
            </w:tcBorders>
            <w:vAlign w:val="center"/>
          </w:tcPr>
          <w:p w14:paraId="6E1C2556" w14:textId="33CA6DDE" w:rsidR="00762245" w:rsidRDefault="00762245" w:rsidP="00383406">
            <w:pPr>
              <w:jc w:val="center"/>
            </w:pPr>
          </w:p>
        </w:tc>
        <w:tc>
          <w:tcPr>
            <w:tcW w:w="3685" w:type="dxa"/>
            <w:gridSpan w:val="3"/>
            <w:tcBorders>
              <w:top w:val="single" w:sz="4" w:space="0" w:color="auto"/>
              <w:left w:val="single" w:sz="4" w:space="0" w:color="auto"/>
              <w:right w:val="single" w:sz="4" w:space="0" w:color="auto"/>
            </w:tcBorders>
          </w:tcPr>
          <w:p w14:paraId="48D14130" w14:textId="77777777" w:rsidR="00762245" w:rsidRPr="00762245" w:rsidRDefault="00762245" w:rsidP="00383406">
            <w:pPr>
              <w:jc w:val="center"/>
              <w:rPr>
                <w:i/>
                <w:iCs/>
              </w:rPr>
            </w:pPr>
            <w:r w:rsidRPr="00762245">
              <w:rPr>
                <w:i/>
                <w:iCs/>
              </w:rPr>
              <w:t>Rotation</w:t>
            </w:r>
          </w:p>
        </w:tc>
        <w:tc>
          <w:tcPr>
            <w:tcW w:w="3119" w:type="dxa"/>
            <w:vMerge/>
            <w:tcBorders>
              <w:left w:val="single" w:sz="4" w:space="0" w:color="auto"/>
            </w:tcBorders>
            <w:vAlign w:val="center"/>
          </w:tcPr>
          <w:p w14:paraId="1EBEAC7A" w14:textId="50786CC6" w:rsidR="00762245" w:rsidRDefault="00762245" w:rsidP="00383406">
            <w:pPr>
              <w:jc w:val="center"/>
            </w:pPr>
          </w:p>
        </w:tc>
      </w:tr>
      <w:tr w:rsidR="00762245" w14:paraId="0FEFC5C3" w14:textId="77777777" w:rsidTr="00762245">
        <w:trPr>
          <w:trHeight w:val="64"/>
        </w:trPr>
        <w:tc>
          <w:tcPr>
            <w:tcW w:w="2269" w:type="dxa"/>
            <w:vMerge/>
            <w:vAlign w:val="center"/>
          </w:tcPr>
          <w:p w14:paraId="4B23417F" w14:textId="77777777" w:rsidR="00762245" w:rsidRDefault="00762245" w:rsidP="00383406">
            <w:pPr>
              <w:jc w:val="center"/>
            </w:pPr>
          </w:p>
        </w:tc>
        <w:tc>
          <w:tcPr>
            <w:tcW w:w="1559" w:type="dxa"/>
            <w:vMerge/>
            <w:tcBorders>
              <w:right w:val="single" w:sz="4" w:space="0" w:color="auto"/>
            </w:tcBorders>
            <w:vAlign w:val="center"/>
          </w:tcPr>
          <w:p w14:paraId="22948858" w14:textId="77777777" w:rsidR="00762245" w:rsidRDefault="00762245" w:rsidP="00383406">
            <w:pPr>
              <w:jc w:val="center"/>
            </w:pPr>
          </w:p>
        </w:tc>
        <w:tc>
          <w:tcPr>
            <w:tcW w:w="1276" w:type="dxa"/>
            <w:tcBorders>
              <w:left w:val="single" w:sz="4" w:space="0" w:color="auto"/>
            </w:tcBorders>
            <w:vAlign w:val="center"/>
          </w:tcPr>
          <w:p w14:paraId="373F5E54" w14:textId="77777777" w:rsidR="00762245" w:rsidRPr="00762245" w:rsidRDefault="00762245" w:rsidP="00383406">
            <w:pPr>
              <w:jc w:val="center"/>
              <w:rPr>
                <w:sz w:val="20"/>
                <w:szCs w:val="20"/>
              </w:rPr>
            </w:pPr>
            <w:r w:rsidRPr="00762245">
              <w:rPr>
                <w:sz w:val="20"/>
                <w:szCs w:val="20"/>
              </w:rPr>
              <w:t>Degrees</w:t>
            </w:r>
          </w:p>
        </w:tc>
        <w:tc>
          <w:tcPr>
            <w:tcW w:w="1134" w:type="dxa"/>
            <w:vAlign w:val="center"/>
          </w:tcPr>
          <w:p w14:paraId="15128580" w14:textId="77777777" w:rsidR="00762245" w:rsidRPr="00762245" w:rsidRDefault="00762245" w:rsidP="00383406">
            <w:pPr>
              <w:jc w:val="center"/>
              <w:rPr>
                <w:sz w:val="20"/>
                <w:szCs w:val="20"/>
              </w:rPr>
            </w:pPr>
            <w:r w:rsidRPr="00762245">
              <w:rPr>
                <w:sz w:val="20"/>
                <w:szCs w:val="20"/>
              </w:rPr>
              <w:t>Per Hour</w:t>
            </w:r>
          </w:p>
        </w:tc>
        <w:tc>
          <w:tcPr>
            <w:tcW w:w="1275" w:type="dxa"/>
            <w:tcBorders>
              <w:right w:val="single" w:sz="4" w:space="0" w:color="auto"/>
            </w:tcBorders>
            <w:vAlign w:val="center"/>
          </w:tcPr>
          <w:p w14:paraId="02982FD5" w14:textId="77777777" w:rsidR="00762245" w:rsidRPr="00762245" w:rsidRDefault="00762245" w:rsidP="00383406">
            <w:pPr>
              <w:jc w:val="center"/>
              <w:rPr>
                <w:sz w:val="20"/>
                <w:szCs w:val="20"/>
              </w:rPr>
            </w:pPr>
            <w:r w:rsidRPr="00762245">
              <w:rPr>
                <w:sz w:val="20"/>
                <w:szCs w:val="20"/>
              </w:rPr>
              <w:t>Hours / day</w:t>
            </w:r>
          </w:p>
        </w:tc>
        <w:tc>
          <w:tcPr>
            <w:tcW w:w="3119" w:type="dxa"/>
            <w:vMerge/>
            <w:tcBorders>
              <w:left w:val="single" w:sz="4" w:space="0" w:color="auto"/>
            </w:tcBorders>
            <w:vAlign w:val="center"/>
          </w:tcPr>
          <w:p w14:paraId="236FB7ED" w14:textId="77777777" w:rsidR="00762245" w:rsidRDefault="00762245" w:rsidP="00383406"/>
        </w:tc>
      </w:tr>
      <w:tr w:rsidR="00171EFA" w14:paraId="1EC48C33" w14:textId="77777777" w:rsidTr="00762245">
        <w:trPr>
          <w:trHeight w:val="842"/>
        </w:trPr>
        <w:tc>
          <w:tcPr>
            <w:tcW w:w="2269" w:type="dxa"/>
            <w:vAlign w:val="center"/>
          </w:tcPr>
          <w:p w14:paraId="7C8278F7" w14:textId="5EF4DC44" w:rsidR="00171EFA" w:rsidRPr="002B722C" w:rsidRDefault="00171EFA" w:rsidP="00383406">
            <w:pPr>
              <w:rPr>
                <w:sz w:val="19"/>
                <w:szCs w:val="19"/>
              </w:rPr>
            </w:pPr>
            <w:r w:rsidRPr="002B722C">
              <w:rPr>
                <w:sz w:val="19"/>
                <w:szCs w:val="19"/>
              </w:rPr>
              <w:t>Kelley et al</w:t>
            </w:r>
            <w:r>
              <w:rPr>
                <w:sz w:val="19"/>
                <w:szCs w:val="19"/>
              </w:rPr>
              <w:t xml:space="preserve"> (1987)                                       </w:t>
            </w:r>
          </w:p>
        </w:tc>
        <w:tc>
          <w:tcPr>
            <w:tcW w:w="1559" w:type="dxa"/>
            <w:vAlign w:val="center"/>
          </w:tcPr>
          <w:p w14:paraId="3467A599" w14:textId="77777777" w:rsidR="00171EFA" w:rsidRPr="002B722C" w:rsidRDefault="00171EFA" w:rsidP="00383406">
            <w:pPr>
              <w:jc w:val="center"/>
              <w:rPr>
                <w:sz w:val="19"/>
                <w:szCs w:val="19"/>
              </w:rPr>
            </w:pPr>
            <w:r w:rsidRPr="002B722C">
              <w:rPr>
                <w:sz w:val="19"/>
                <w:szCs w:val="19"/>
              </w:rPr>
              <w:t>Turned a mean of 12 times a day</w:t>
            </w:r>
          </w:p>
        </w:tc>
        <w:tc>
          <w:tcPr>
            <w:tcW w:w="1276" w:type="dxa"/>
            <w:vAlign w:val="center"/>
          </w:tcPr>
          <w:p w14:paraId="0748C0D1" w14:textId="77777777" w:rsidR="00171EFA" w:rsidRPr="002B722C" w:rsidRDefault="00171EFA" w:rsidP="00383406">
            <w:pPr>
              <w:jc w:val="center"/>
              <w:rPr>
                <w:sz w:val="19"/>
                <w:szCs w:val="19"/>
              </w:rPr>
            </w:pPr>
            <w:r w:rsidRPr="002B722C">
              <w:rPr>
                <w:sz w:val="19"/>
                <w:szCs w:val="19"/>
              </w:rPr>
              <w:t>NR</w:t>
            </w:r>
          </w:p>
        </w:tc>
        <w:tc>
          <w:tcPr>
            <w:tcW w:w="1134" w:type="dxa"/>
            <w:vAlign w:val="center"/>
          </w:tcPr>
          <w:p w14:paraId="0D19CA6D" w14:textId="77777777" w:rsidR="00171EFA" w:rsidRPr="002B722C" w:rsidRDefault="00171EFA" w:rsidP="00383406">
            <w:pPr>
              <w:jc w:val="center"/>
              <w:rPr>
                <w:sz w:val="19"/>
                <w:szCs w:val="19"/>
              </w:rPr>
            </w:pPr>
            <w:r w:rsidRPr="002B722C">
              <w:rPr>
                <w:sz w:val="19"/>
                <w:szCs w:val="19"/>
              </w:rPr>
              <w:t>8</w:t>
            </w:r>
          </w:p>
        </w:tc>
        <w:tc>
          <w:tcPr>
            <w:tcW w:w="1275" w:type="dxa"/>
            <w:vAlign w:val="center"/>
          </w:tcPr>
          <w:p w14:paraId="3177696D" w14:textId="77777777" w:rsidR="00171EFA" w:rsidRPr="002B722C" w:rsidRDefault="00171EFA" w:rsidP="00383406">
            <w:pPr>
              <w:jc w:val="center"/>
              <w:rPr>
                <w:sz w:val="19"/>
                <w:szCs w:val="19"/>
              </w:rPr>
            </w:pPr>
            <w:r w:rsidRPr="002B722C">
              <w:rPr>
                <w:sz w:val="19"/>
                <w:szCs w:val="19"/>
              </w:rPr>
              <w:t>NR</w:t>
            </w:r>
          </w:p>
        </w:tc>
        <w:tc>
          <w:tcPr>
            <w:tcW w:w="3119" w:type="dxa"/>
            <w:vAlign w:val="center"/>
          </w:tcPr>
          <w:p w14:paraId="4D144C6B" w14:textId="77777777" w:rsidR="00171EFA" w:rsidRPr="002B722C" w:rsidRDefault="00171EFA" w:rsidP="00383406">
            <w:pPr>
              <w:rPr>
                <w:sz w:val="19"/>
                <w:szCs w:val="19"/>
              </w:rPr>
            </w:pPr>
            <w:r>
              <w:rPr>
                <w:sz w:val="19"/>
                <w:szCs w:val="19"/>
              </w:rPr>
              <w:t>Risks of any infection (pneumonia or urinary tract infection or sepsis) 2.9 times less (pneumonia alone 28% vs 52%), risk of multiple infections 6.4 times less</w:t>
            </w:r>
          </w:p>
        </w:tc>
      </w:tr>
      <w:tr w:rsidR="00171EFA" w14:paraId="51CF29DD" w14:textId="77777777" w:rsidTr="00762245">
        <w:trPr>
          <w:trHeight w:val="555"/>
        </w:trPr>
        <w:tc>
          <w:tcPr>
            <w:tcW w:w="2269" w:type="dxa"/>
            <w:vAlign w:val="center"/>
          </w:tcPr>
          <w:p w14:paraId="75434682" w14:textId="378D5A9E" w:rsidR="00171EFA" w:rsidRPr="002B722C" w:rsidRDefault="00171EFA" w:rsidP="00383406">
            <w:pPr>
              <w:rPr>
                <w:sz w:val="19"/>
                <w:szCs w:val="19"/>
              </w:rPr>
            </w:pPr>
            <w:proofErr w:type="spellStart"/>
            <w:r w:rsidRPr="002B722C">
              <w:rPr>
                <w:sz w:val="19"/>
                <w:szCs w:val="19"/>
              </w:rPr>
              <w:t>Gentilello</w:t>
            </w:r>
            <w:proofErr w:type="spellEnd"/>
            <w:r w:rsidRPr="002B722C">
              <w:rPr>
                <w:sz w:val="19"/>
                <w:szCs w:val="19"/>
              </w:rPr>
              <w:t xml:space="preserve"> et </w:t>
            </w:r>
            <w:proofErr w:type="gramStart"/>
            <w:r w:rsidRPr="002B722C">
              <w:rPr>
                <w:sz w:val="19"/>
                <w:szCs w:val="19"/>
              </w:rPr>
              <w:t>al</w:t>
            </w:r>
            <w:r>
              <w:rPr>
                <w:sz w:val="19"/>
                <w:szCs w:val="19"/>
              </w:rPr>
              <w:t xml:space="preserve">  (</w:t>
            </w:r>
            <w:proofErr w:type="gramEnd"/>
            <w:r>
              <w:rPr>
                <w:sz w:val="19"/>
                <w:szCs w:val="19"/>
              </w:rPr>
              <w:t>1988)</w:t>
            </w:r>
          </w:p>
        </w:tc>
        <w:tc>
          <w:tcPr>
            <w:tcW w:w="1559" w:type="dxa"/>
            <w:vAlign w:val="center"/>
          </w:tcPr>
          <w:p w14:paraId="30F4DC18" w14:textId="77777777" w:rsidR="00171EFA" w:rsidRPr="002B722C" w:rsidRDefault="00171EFA" w:rsidP="00383406">
            <w:pPr>
              <w:jc w:val="center"/>
              <w:rPr>
                <w:sz w:val="19"/>
                <w:szCs w:val="19"/>
              </w:rPr>
            </w:pPr>
            <w:r w:rsidRPr="002B722C">
              <w:rPr>
                <w:sz w:val="19"/>
                <w:szCs w:val="19"/>
              </w:rPr>
              <w:t>Turned every 2 hours</w:t>
            </w:r>
          </w:p>
        </w:tc>
        <w:tc>
          <w:tcPr>
            <w:tcW w:w="1276" w:type="dxa"/>
            <w:vAlign w:val="center"/>
          </w:tcPr>
          <w:p w14:paraId="3CAC49BA" w14:textId="77777777" w:rsidR="00171EFA" w:rsidRPr="002B722C" w:rsidRDefault="00171EFA" w:rsidP="00383406">
            <w:pPr>
              <w:jc w:val="center"/>
              <w:rPr>
                <w:sz w:val="19"/>
                <w:szCs w:val="19"/>
              </w:rPr>
            </w:pPr>
            <w:r w:rsidRPr="002B722C">
              <w:rPr>
                <w:sz w:val="19"/>
                <w:szCs w:val="19"/>
              </w:rPr>
              <w:t>NR</w:t>
            </w:r>
          </w:p>
        </w:tc>
        <w:tc>
          <w:tcPr>
            <w:tcW w:w="1134" w:type="dxa"/>
            <w:vAlign w:val="center"/>
          </w:tcPr>
          <w:p w14:paraId="38954993" w14:textId="77777777" w:rsidR="00171EFA" w:rsidRPr="002B722C" w:rsidRDefault="00171EFA" w:rsidP="00383406">
            <w:pPr>
              <w:jc w:val="center"/>
              <w:rPr>
                <w:sz w:val="19"/>
                <w:szCs w:val="19"/>
              </w:rPr>
            </w:pPr>
            <w:r w:rsidRPr="002B722C">
              <w:rPr>
                <w:sz w:val="19"/>
                <w:szCs w:val="19"/>
              </w:rPr>
              <w:t>NR</w:t>
            </w:r>
          </w:p>
        </w:tc>
        <w:tc>
          <w:tcPr>
            <w:tcW w:w="1275" w:type="dxa"/>
            <w:vAlign w:val="center"/>
          </w:tcPr>
          <w:p w14:paraId="5234608C" w14:textId="77777777" w:rsidR="00171EFA" w:rsidRPr="002B722C" w:rsidRDefault="00171EFA" w:rsidP="00383406">
            <w:pPr>
              <w:jc w:val="center"/>
              <w:rPr>
                <w:sz w:val="19"/>
                <w:szCs w:val="19"/>
              </w:rPr>
            </w:pPr>
            <w:r w:rsidRPr="002B722C">
              <w:rPr>
                <w:sz w:val="19"/>
                <w:szCs w:val="19"/>
              </w:rPr>
              <w:t>24</w:t>
            </w:r>
          </w:p>
        </w:tc>
        <w:tc>
          <w:tcPr>
            <w:tcW w:w="3119" w:type="dxa"/>
            <w:vAlign w:val="center"/>
          </w:tcPr>
          <w:p w14:paraId="3E68B406" w14:textId="77777777" w:rsidR="00171EFA" w:rsidRPr="002B722C" w:rsidRDefault="00171EFA" w:rsidP="00383406">
            <w:pPr>
              <w:rPr>
                <w:sz w:val="19"/>
                <w:szCs w:val="19"/>
              </w:rPr>
            </w:pPr>
            <w:r>
              <w:rPr>
                <w:sz w:val="19"/>
                <w:szCs w:val="19"/>
              </w:rPr>
              <w:t>Combines atelectasis and/or pneumonia (33.3% vs 65.8%)</w:t>
            </w:r>
          </w:p>
        </w:tc>
      </w:tr>
      <w:tr w:rsidR="00171EFA" w14:paraId="2A525CD2" w14:textId="77777777" w:rsidTr="00762245">
        <w:trPr>
          <w:trHeight w:val="541"/>
        </w:trPr>
        <w:tc>
          <w:tcPr>
            <w:tcW w:w="2269" w:type="dxa"/>
            <w:vAlign w:val="center"/>
          </w:tcPr>
          <w:p w14:paraId="1385DB67" w14:textId="068957BF" w:rsidR="00171EFA" w:rsidRPr="002B722C" w:rsidRDefault="00171EFA" w:rsidP="00383406">
            <w:pPr>
              <w:rPr>
                <w:sz w:val="19"/>
                <w:szCs w:val="19"/>
              </w:rPr>
            </w:pPr>
            <w:r w:rsidRPr="002B722C">
              <w:rPr>
                <w:sz w:val="19"/>
                <w:szCs w:val="19"/>
              </w:rPr>
              <w:t xml:space="preserve">Summer et </w:t>
            </w:r>
            <w:proofErr w:type="gramStart"/>
            <w:r w:rsidRPr="002B722C">
              <w:rPr>
                <w:sz w:val="19"/>
                <w:szCs w:val="19"/>
              </w:rPr>
              <w:t>al</w:t>
            </w:r>
            <w:r>
              <w:rPr>
                <w:sz w:val="19"/>
                <w:szCs w:val="19"/>
              </w:rPr>
              <w:t>(</w:t>
            </w:r>
            <w:proofErr w:type="gramEnd"/>
            <w:r>
              <w:rPr>
                <w:sz w:val="19"/>
                <w:szCs w:val="19"/>
              </w:rPr>
              <w:t>1989)</w:t>
            </w:r>
          </w:p>
        </w:tc>
        <w:tc>
          <w:tcPr>
            <w:tcW w:w="1559" w:type="dxa"/>
            <w:vAlign w:val="center"/>
          </w:tcPr>
          <w:p w14:paraId="113EC946" w14:textId="77777777" w:rsidR="00171EFA" w:rsidRPr="002B722C" w:rsidRDefault="00171EFA" w:rsidP="00383406">
            <w:pPr>
              <w:jc w:val="center"/>
              <w:rPr>
                <w:sz w:val="19"/>
                <w:szCs w:val="19"/>
              </w:rPr>
            </w:pPr>
            <w:r w:rsidRPr="002B722C">
              <w:rPr>
                <w:sz w:val="19"/>
                <w:szCs w:val="19"/>
              </w:rPr>
              <w:t>Turned every 2 hours</w:t>
            </w:r>
          </w:p>
        </w:tc>
        <w:tc>
          <w:tcPr>
            <w:tcW w:w="1276" w:type="dxa"/>
            <w:vAlign w:val="center"/>
          </w:tcPr>
          <w:p w14:paraId="30BC4784" w14:textId="77777777" w:rsidR="00171EFA" w:rsidRPr="002B722C" w:rsidRDefault="00171EFA" w:rsidP="00383406">
            <w:pPr>
              <w:jc w:val="center"/>
              <w:rPr>
                <w:sz w:val="19"/>
                <w:szCs w:val="19"/>
              </w:rPr>
            </w:pPr>
            <w:r w:rsidRPr="002B722C">
              <w:rPr>
                <w:sz w:val="19"/>
                <w:szCs w:val="19"/>
              </w:rPr>
              <w:t>NR</w:t>
            </w:r>
          </w:p>
        </w:tc>
        <w:tc>
          <w:tcPr>
            <w:tcW w:w="1134" w:type="dxa"/>
            <w:vAlign w:val="center"/>
          </w:tcPr>
          <w:p w14:paraId="42105890" w14:textId="77777777" w:rsidR="00171EFA" w:rsidRPr="002B722C" w:rsidRDefault="00171EFA" w:rsidP="00383406">
            <w:pPr>
              <w:jc w:val="center"/>
              <w:rPr>
                <w:sz w:val="19"/>
                <w:szCs w:val="19"/>
              </w:rPr>
            </w:pPr>
            <w:r w:rsidRPr="002B722C">
              <w:rPr>
                <w:sz w:val="19"/>
                <w:szCs w:val="19"/>
              </w:rPr>
              <w:t>NR</w:t>
            </w:r>
          </w:p>
        </w:tc>
        <w:tc>
          <w:tcPr>
            <w:tcW w:w="1275" w:type="dxa"/>
            <w:vAlign w:val="center"/>
          </w:tcPr>
          <w:p w14:paraId="08225C57" w14:textId="77777777" w:rsidR="00171EFA" w:rsidRPr="002B722C" w:rsidRDefault="00171EFA" w:rsidP="00383406">
            <w:pPr>
              <w:jc w:val="center"/>
              <w:rPr>
                <w:sz w:val="19"/>
                <w:szCs w:val="19"/>
              </w:rPr>
            </w:pPr>
            <w:r w:rsidRPr="002B722C">
              <w:rPr>
                <w:sz w:val="19"/>
                <w:szCs w:val="19"/>
              </w:rPr>
              <w:t>24</w:t>
            </w:r>
          </w:p>
        </w:tc>
        <w:tc>
          <w:tcPr>
            <w:tcW w:w="3119" w:type="dxa"/>
            <w:vAlign w:val="center"/>
          </w:tcPr>
          <w:p w14:paraId="293D28C9" w14:textId="77777777" w:rsidR="00171EFA" w:rsidRPr="002B722C" w:rsidRDefault="00171EFA" w:rsidP="00383406">
            <w:pPr>
              <w:rPr>
                <w:sz w:val="19"/>
                <w:szCs w:val="19"/>
              </w:rPr>
            </w:pPr>
            <w:r>
              <w:rPr>
                <w:sz w:val="19"/>
                <w:szCs w:val="19"/>
              </w:rPr>
              <w:t>Patients with sepsis and chronic obstructive airways disease had shorter ICU stay, patients with chronic obstructive airways disease had fewer days of mechanical ventilation</w:t>
            </w:r>
          </w:p>
        </w:tc>
      </w:tr>
      <w:tr w:rsidR="00171EFA" w14:paraId="46918F39" w14:textId="77777777" w:rsidTr="00762245">
        <w:trPr>
          <w:trHeight w:val="555"/>
        </w:trPr>
        <w:tc>
          <w:tcPr>
            <w:tcW w:w="2269" w:type="dxa"/>
            <w:vAlign w:val="center"/>
          </w:tcPr>
          <w:p w14:paraId="34BFA7CD" w14:textId="6D356B0C" w:rsidR="00171EFA" w:rsidRPr="002B722C" w:rsidRDefault="00171EFA" w:rsidP="00383406">
            <w:pPr>
              <w:rPr>
                <w:sz w:val="19"/>
                <w:szCs w:val="19"/>
              </w:rPr>
            </w:pPr>
            <w:r w:rsidRPr="002B722C">
              <w:rPr>
                <w:sz w:val="19"/>
                <w:szCs w:val="19"/>
              </w:rPr>
              <w:t>Demarest et al</w:t>
            </w:r>
            <w:r>
              <w:rPr>
                <w:sz w:val="19"/>
                <w:szCs w:val="19"/>
              </w:rPr>
              <w:t xml:space="preserve"> (1989)</w:t>
            </w:r>
          </w:p>
        </w:tc>
        <w:tc>
          <w:tcPr>
            <w:tcW w:w="1559" w:type="dxa"/>
            <w:vAlign w:val="center"/>
          </w:tcPr>
          <w:p w14:paraId="37953033" w14:textId="77777777" w:rsidR="00171EFA" w:rsidRPr="002B722C" w:rsidRDefault="00171EFA" w:rsidP="00383406">
            <w:pPr>
              <w:jc w:val="center"/>
              <w:rPr>
                <w:sz w:val="19"/>
                <w:szCs w:val="19"/>
              </w:rPr>
            </w:pPr>
            <w:r w:rsidRPr="002B722C">
              <w:rPr>
                <w:sz w:val="19"/>
                <w:szCs w:val="19"/>
              </w:rPr>
              <w:t>Turned every 2 hours</w:t>
            </w:r>
          </w:p>
        </w:tc>
        <w:tc>
          <w:tcPr>
            <w:tcW w:w="1276" w:type="dxa"/>
            <w:vAlign w:val="center"/>
          </w:tcPr>
          <w:p w14:paraId="7166EE5D" w14:textId="77777777" w:rsidR="00171EFA" w:rsidRPr="002B722C" w:rsidRDefault="00171EFA" w:rsidP="00383406">
            <w:pPr>
              <w:jc w:val="center"/>
              <w:rPr>
                <w:sz w:val="19"/>
                <w:szCs w:val="19"/>
              </w:rPr>
            </w:pPr>
            <w:r w:rsidRPr="002B722C">
              <w:rPr>
                <w:sz w:val="19"/>
                <w:szCs w:val="19"/>
              </w:rPr>
              <w:t>NR</w:t>
            </w:r>
          </w:p>
        </w:tc>
        <w:tc>
          <w:tcPr>
            <w:tcW w:w="1134" w:type="dxa"/>
            <w:vAlign w:val="center"/>
          </w:tcPr>
          <w:p w14:paraId="14D35DD3" w14:textId="77777777" w:rsidR="00171EFA" w:rsidRPr="002B722C" w:rsidRDefault="00171EFA" w:rsidP="00383406">
            <w:pPr>
              <w:jc w:val="center"/>
              <w:rPr>
                <w:sz w:val="19"/>
                <w:szCs w:val="19"/>
              </w:rPr>
            </w:pPr>
            <w:r w:rsidRPr="002B722C">
              <w:rPr>
                <w:sz w:val="19"/>
                <w:szCs w:val="19"/>
              </w:rPr>
              <w:t>NR</w:t>
            </w:r>
          </w:p>
        </w:tc>
        <w:tc>
          <w:tcPr>
            <w:tcW w:w="1275" w:type="dxa"/>
            <w:vAlign w:val="center"/>
          </w:tcPr>
          <w:p w14:paraId="0BC31AD5" w14:textId="77777777" w:rsidR="00171EFA" w:rsidRPr="002B722C" w:rsidRDefault="00171EFA" w:rsidP="00383406">
            <w:pPr>
              <w:jc w:val="center"/>
              <w:rPr>
                <w:sz w:val="19"/>
                <w:szCs w:val="19"/>
              </w:rPr>
            </w:pPr>
            <w:r w:rsidRPr="002B722C">
              <w:rPr>
                <w:sz w:val="19"/>
                <w:szCs w:val="19"/>
              </w:rPr>
              <w:t>24</w:t>
            </w:r>
          </w:p>
        </w:tc>
        <w:tc>
          <w:tcPr>
            <w:tcW w:w="3119" w:type="dxa"/>
            <w:vAlign w:val="center"/>
          </w:tcPr>
          <w:p w14:paraId="56E9132D" w14:textId="77777777" w:rsidR="00171EFA" w:rsidRPr="002B722C" w:rsidRDefault="00171EFA" w:rsidP="00383406">
            <w:pPr>
              <w:rPr>
                <w:sz w:val="19"/>
                <w:szCs w:val="19"/>
              </w:rPr>
            </w:pPr>
            <w:r>
              <w:rPr>
                <w:sz w:val="19"/>
                <w:szCs w:val="19"/>
              </w:rPr>
              <w:t xml:space="preserve">Less atelectasis and/or pneumonia in those who started with normal </w:t>
            </w:r>
            <w:r>
              <w:rPr>
                <w:sz w:val="19"/>
                <w:szCs w:val="19"/>
              </w:rPr>
              <w:lastRenderedPageBreak/>
              <w:t>findings on a chest radiograph (1/9 in treatment group vs 5/6)</w:t>
            </w:r>
          </w:p>
        </w:tc>
      </w:tr>
      <w:tr w:rsidR="00171EFA" w14:paraId="1139F9E4" w14:textId="77777777" w:rsidTr="00762245">
        <w:trPr>
          <w:trHeight w:val="270"/>
        </w:trPr>
        <w:tc>
          <w:tcPr>
            <w:tcW w:w="2269" w:type="dxa"/>
            <w:vAlign w:val="center"/>
          </w:tcPr>
          <w:p w14:paraId="59304A6F" w14:textId="3469D009" w:rsidR="00171EFA" w:rsidRPr="002B722C" w:rsidRDefault="00171EFA" w:rsidP="00383406">
            <w:pPr>
              <w:rPr>
                <w:sz w:val="19"/>
                <w:szCs w:val="19"/>
              </w:rPr>
            </w:pPr>
            <w:r w:rsidRPr="002B722C">
              <w:rPr>
                <w:sz w:val="19"/>
                <w:szCs w:val="19"/>
              </w:rPr>
              <w:lastRenderedPageBreak/>
              <w:t>Fink et al</w:t>
            </w:r>
            <w:r>
              <w:rPr>
                <w:sz w:val="19"/>
                <w:szCs w:val="19"/>
              </w:rPr>
              <w:t xml:space="preserve"> (1990)</w:t>
            </w:r>
          </w:p>
        </w:tc>
        <w:tc>
          <w:tcPr>
            <w:tcW w:w="1559" w:type="dxa"/>
            <w:vAlign w:val="center"/>
          </w:tcPr>
          <w:p w14:paraId="2CA45E2A" w14:textId="09DE80F4" w:rsidR="00171EFA" w:rsidRPr="002B722C" w:rsidRDefault="00383406" w:rsidP="00383406">
            <w:pPr>
              <w:jc w:val="center"/>
              <w:rPr>
                <w:sz w:val="19"/>
                <w:szCs w:val="19"/>
              </w:rPr>
            </w:pPr>
            <w:r>
              <w:rPr>
                <w:sz w:val="19"/>
                <w:szCs w:val="19"/>
              </w:rPr>
              <w:t>No Comment</w:t>
            </w:r>
          </w:p>
        </w:tc>
        <w:tc>
          <w:tcPr>
            <w:tcW w:w="1276" w:type="dxa"/>
            <w:vAlign w:val="center"/>
          </w:tcPr>
          <w:p w14:paraId="38BD42EE" w14:textId="77777777" w:rsidR="00171EFA" w:rsidRPr="002B722C" w:rsidRDefault="00171EFA" w:rsidP="00383406">
            <w:pPr>
              <w:jc w:val="center"/>
              <w:rPr>
                <w:sz w:val="19"/>
                <w:szCs w:val="19"/>
              </w:rPr>
            </w:pPr>
            <w:r w:rsidRPr="002B722C">
              <w:rPr>
                <w:sz w:val="19"/>
                <w:szCs w:val="19"/>
              </w:rPr>
              <w:t>NR</w:t>
            </w:r>
          </w:p>
        </w:tc>
        <w:tc>
          <w:tcPr>
            <w:tcW w:w="1134" w:type="dxa"/>
            <w:vAlign w:val="center"/>
          </w:tcPr>
          <w:p w14:paraId="4FBD7DDA" w14:textId="77777777" w:rsidR="00171EFA" w:rsidRPr="002B722C" w:rsidRDefault="00171EFA" w:rsidP="00383406">
            <w:pPr>
              <w:jc w:val="center"/>
              <w:rPr>
                <w:sz w:val="19"/>
                <w:szCs w:val="19"/>
              </w:rPr>
            </w:pPr>
            <w:r w:rsidRPr="002B722C">
              <w:rPr>
                <w:sz w:val="19"/>
                <w:szCs w:val="19"/>
              </w:rPr>
              <w:t>NR</w:t>
            </w:r>
          </w:p>
        </w:tc>
        <w:tc>
          <w:tcPr>
            <w:tcW w:w="1275" w:type="dxa"/>
            <w:vAlign w:val="center"/>
          </w:tcPr>
          <w:p w14:paraId="3391E26C" w14:textId="77777777" w:rsidR="00171EFA" w:rsidRPr="002B722C" w:rsidRDefault="00171EFA" w:rsidP="00383406">
            <w:pPr>
              <w:jc w:val="center"/>
              <w:rPr>
                <w:sz w:val="19"/>
                <w:szCs w:val="19"/>
              </w:rPr>
            </w:pPr>
            <w:r w:rsidRPr="002B722C">
              <w:rPr>
                <w:sz w:val="19"/>
                <w:szCs w:val="19"/>
              </w:rPr>
              <w:t>NR</w:t>
            </w:r>
          </w:p>
        </w:tc>
        <w:tc>
          <w:tcPr>
            <w:tcW w:w="3119" w:type="dxa"/>
            <w:vAlign w:val="center"/>
          </w:tcPr>
          <w:p w14:paraId="7EA814FC" w14:textId="77777777" w:rsidR="00171EFA" w:rsidRPr="002B722C" w:rsidRDefault="00171EFA" w:rsidP="00383406">
            <w:pPr>
              <w:rPr>
                <w:sz w:val="19"/>
                <w:szCs w:val="19"/>
              </w:rPr>
            </w:pPr>
            <w:r>
              <w:rPr>
                <w:sz w:val="19"/>
                <w:szCs w:val="19"/>
              </w:rPr>
              <w:t>Fewer lower respiratory tract infections (25.5% vs 58.3%), less pneumonia (13.7% vs 39.6%), shorter median hospital stay (20 days vs 37 days)</w:t>
            </w:r>
          </w:p>
        </w:tc>
      </w:tr>
      <w:tr w:rsidR="00171EFA" w14:paraId="112E486F" w14:textId="77777777" w:rsidTr="00762245">
        <w:trPr>
          <w:trHeight w:val="555"/>
        </w:trPr>
        <w:tc>
          <w:tcPr>
            <w:tcW w:w="2269" w:type="dxa"/>
            <w:vAlign w:val="center"/>
          </w:tcPr>
          <w:p w14:paraId="78345A7E" w14:textId="2AF1A17D" w:rsidR="00171EFA" w:rsidRPr="002B722C" w:rsidRDefault="00171EFA" w:rsidP="00383406">
            <w:pPr>
              <w:rPr>
                <w:sz w:val="19"/>
                <w:szCs w:val="19"/>
              </w:rPr>
            </w:pPr>
            <w:r w:rsidRPr="002B722C">
              <w:rPr>
                <w:sz w:val="19"/>
                <w:szCs w:val="19"/>
              </w:rPr>
              <w:t>Clemmer et al</w:t>
            </w:r>
            <w:r>
              <w:rPr>
                <w:sz w:val="19"/>
                <w:szCs w:val="19"/>
              </w:rPr>
              <w:t xml:space="preserve"> (1990)</w:t>
            </w:r>
          </w:p>
        </w:tc>
        <w:tc>
          <w:tcPr>
            <w:tcW w:w="1559" w:type="dxa"/>
            <w:vAlign w:val="center"/>
          </w:tcPr>
          <w:p w14:paraId="0B809C99" w14:textId="77777777" w:rsidR="00171EFA" w:rsidRPr="002B722C" w:rsidRDefault="00171EFA" w:rsidP="00383406">
            <w:pPr>
              <w:jc w:val="center"/>
              <w:rPr>
                <w:sz w:val="19"/>
                <w:szCs w:val="19"/>
              </w:rPr>
            </w:pPr>
            <w:r w:rsidRPr="002B722C">
              <w:rPr>
                <w:sz w:val="19"/>
                <w:szCs w:val="19"/>
              </w:rPr>
              <w:t>Turned every 2–4 hours</w:t>
            </w:r>
          </w:p>
        </w:tc>
        <w:tc>
          <w:tcPr>
            <w:tcW w:w="1276" w:type="dxa"/>
            <w:vAlign w:val="center"/>
          </w:tcPr>
          <w:p w14:paraId="600440C5" w14:textId="77777777" w:rsidR="00171EFA" w:rsidRPr="002B722C" w:rsidRDefault="00171EFA" w:rsidP="00383406">
            <w:pPr>
              <w:jc w:val="center"/>
              <w:rPr>
                <w:sz w:val="19"/>
                <w:szCs w:val="19"/>
              </w:rPr>
            </w:pPr>
            <w:r w:rsidRPr="002B722C">
              <w:rPr>
                <w:sz w:val="19"/>
                <w:szCs w:val="19"/>
              </w:rPr>
              <w:t>72°</w:t>
            </w:r>
          </w:p>
        </w:tc>
        <w:tc>
          <w:tcPr>
            <w:tcW w:w="1134" w:type="dxa"/>
            <w:vAlign w:val="center"/>
          </w:tcPr>
          <w:p w14:paraId="1E359F55" w14:textId="77777777" w:rsidR="00171EFA" w:rsidRPr="002B722C" w:rsidRDefault="00171EFA" w:rsidP="00383406">
            <w:pPr>
              <w:jc w:val="center"/>
              <w:rPr>
                <w:sz w:val="19"/>
                <w:szCs w:val="19"/>
              </w:rPr>
            </w:pPr>
            <w:r w:rsidRPr="002B722C">
              <w:rPr>
                <w:sz w:val="19"/>
                <w:szCs w:val="19"/>
              </w:rPr>
              <w:t>NR</w:t>
            </w:r>
          </w:p>
        </w:tc>
        <w:tc>
          <w:tcPr>
            <w:tcW w:w="1275" w:type="dxa"/>
            <w:vAlign w:val="center"/>
          </w:tcPr>
          <w:p w14:paraId="0A2E4A96" w14:textId="77777777" w:rsidR="00171EFA" w:rsidRPr="002B722C" w:rsidRDefault="00171EFA" w:rsidP="00383406">
            <w:pPr>
              <w:jc w:val="center"/>
              <w:rPr>
                <w:sz w:val="19"/>
                <w:szCs w:val="19"/>
              </w:rPr>
            </w:pPr>
            <w:r w:rsidRPr="002B722C">
              <w:rPr>
                <w:sz w:val="19"/>
                <w:szCs w:val="19"/>
              </w:rPr>
              <w:t>24</w:t>
            </w:r>
          </w:p>
        </w:tc>
        <w:tc>
          <w:tcPr>
            <w:tcW w:w="3119" w:type="dxa"/>
            <w:vAlign w:val="center"/>
          </w:tcPr>
          <w:p w14:paraId="2CF013A4" w14:textId="77777777" w:rsidR="00171EFA" w:rsidRPr="002B722C" w:rsidRDefault="00171EFA" w:rsidP="00383406">
            <w:pPr>
              <w:rPr>
                <w:sz w:val="19"/>
                <w:szCs w:val="19"/>
              </w:rPr>
            </w:pPr>
            <w:r>
              <w:rPr>
                <w:sz w:val="19"/>
                <w:szCs w:val="19"/>
              </w:rPr>
              <w:t>No significant differences</w:t>
            </w:r>
          </w:p>
        </w:tc>
      </w:tr>
      <w:tr w:rsidR="00171EFA" w14:paraId="7D83CB39" w14:textId="77777777" w:rsidTr="00762245">
        <w:trPr>
          <w:trHeight w:val="555"/>
        </w:trPr>
        <w:tc>
          <w:tcPr>
            <w:tcW w:w="2269" w:type="dxa"/>
            <w:vAlign w:val="center"/>
          </w:tcPr>
          <w:p w14:paraId="379D733C" w14:textId="557114E5" w:rsidR="00171EFA" w:rsidRPr="002B722C" w:rsidRDefault="00171EFA" w:rsidP="00383406">
            <w:pPr>
              <w:rPr>
                <w:sz w:val="19"/>
                <w:szCs w:val="19"/>
              </w:rPr>
            </w:pPr>
            <w:r w:rsidRPr="002B722C">
              <w:rPr>
                <w:sz w:val="19"/>
                <w:szCs w:val="19"/>
              </w:rPr>
              <w:t>Nelson and Choi</w:t>
            </w:r>
            <w:r>
              <w:rPr>
                <w:sz w:val="19"/>
                <w:szCs w:val="19"/>
              </w:rPr>
              <w:t xml:space="preserve"> (1992)</w:t>
            </w:r>
          </w:p>
        </w:tc>
        <w:tc>
          <w:tcPr>
            <w:tcW w:w="1559" w:type="dxa"/>
            <w:vAlign w:val="center"/>
          </w:tcPr>
          <w:p w14:paraId="2E5AA561" w14:textId="77777777" w:rsidR="00171EFA" w:rsidRPr="002B722C" w:rsidRDefault="00171EFA" w:rsidP="00383406">
            <w:pPr>
              <w:jc w:val="center"/>
              <w:rPr>
                <w:sz w:val="19"/>
                <w:szCs w:val="19"/>
              </w:rPr>
            </w:pPr>
            <w:r w:rsidRPr="002B722C">
              <w:rPr>
                <w:sz w:val="19"/>
                <w:szCs w:val="19"/>
              </w:rPr>
              <w:t>Turned every 2 hours</w:t>
            </w:r>
          </w:p>
        </w:tc>
        <w:tc>
          <w:tcPr>
            <w:tcW w:w="1276" w:type="dxa"/>
            <w:vAlign w:val="center"/>
          </w:tcPr>
          <w:p w14:paraId="6687593F" w14:textId="77777777" w:rsidR="00171EFA" w:rsidRPr="002B722C" w:rsidRDefault="00171EFA" w:rsidP="00383406">
            <w:pPr>
              <w:jc w:val="center"/>
              <w:rPr>
                <w:sz w:val="19"/>
                <w:szCs w:val="19"/>
              </w:rPr>
            </w:pPr>
            <w:r w:rsidRPr="002B722C">
              <w:rPr>
                <w:sz w:val="19"/>
                <w:szCs w:val="19"/>
              </w:rPr>
              <w:t>NR</w:t>
            </w:r>
          </w:p>
        </w:tc>
        <w:tc>
          <w:tcPr>
            <w:tcW w:w="1134" w:type="dxa"/>
            <w:vAlign w:val="center"/>
          </w:tcPr>
          <w:p w14:paraId="7177AC03" w14:textId="77777777" w:rsidR="00171EFA" w:rsidRPr="002B722C" w:rsidRDefault="00171EFA" w:rsidP="00383406">
            <w:pPr>
              <w:jc w:val="center"/>
              <w:rPr>
                <w:sz w:val="19"/>
                <w:szCs w:val="19"/>
              </w:rPr>
            </w:pPr>
            <w:r w:rsidRPr="002B722C">
              <w:rPr>
                <w:sz w:val="19"/>
                <w:szCs w:val="19"/>
              </w:rPr>
              <w:t>NR</w:t>
            </w:r>
          </w:p>
        </w:tc>
        <w:tc>
          <w:tcPr>
            <w:tcW w:w="1275" w:type="dxa"/>
            <w:vAlign w:val="center"/>
          </w:tcPr>
          <w:p w14:paraId="170EDF09" w14:textId="77777777" w:rsidR="00171EFA" w:rsidRPr="002B722C" w:rsidRDefault="00171EFA" w:rsidP="00383406">
            <w:pPr>
              <w:jc w:val="center"/>
              <w:rPr>
                <w:sz w:val="19"/>
                <w:szCs w:val="19"/>
              </w:rPr>
            </w:pPr>
            <w:r w:rsidRPr="002B722C">
              <w:rPr>
                <w:sz w:val="19"/>
                <w:szCs w:val="19"/>
              </w:rPr>
              <w:t>20</w:t>
            </w:r>
          </w:p>
        </w:tc>
        <w:tc>
          <w:tcPr>
            <w:tcW w:w="3119" w:type="dxa"/>
            <w:vAlign w:val="center"/>
          </w:tcPr>
          <w:p w14:paraId="308F1E22" w14:textId="77777777" w:rsidR="00171EFA" w:rsidRPr="002B722C" w:rsidRDefault="00171EFA" w:rsidP="00383406">
            <w:pPr>
              <w:rPr>
                <w:sz w:val="19"/>
                <w:szCs w:val="19"/>
              </w:rPr>
            </w:pPr>
            <w:r>
              <w:rPr>
                <w:sz w:val="19"/>
                <w:szCs w:val="19"/>
              </w:rPr>
              <w:t>No significant differences</w:t>
            </w:r>
          </w:p>
        </w:tc>
      </w:tr>
      <w:tr w:rsidR="00171EFA" w14:paraId="55C66FA2" w14:textId="77777777" w:rsidTr="00762245">
        <w:trPr>
          <w:trHeight w:val="555"/>
        </w:trPr>
        <w:tc>
          <w:tcPr>
            <w:tcW w:w="2269" w:type="dxa"/>
            <w:vAlign w:val="center"/>
          </w:tcPr>
          <w:p w14:paraId="441857D9" w14:textId="569EE5B3" w:rsidR="00171EFA" w:rsidRPr="002B722C" w:rsidRDefault="00171EFA" w:rsidP="00383406">
            <w:pPr>
              <w:rPr>
                <w:sz w:val="19"/>
                <w:szCs w:val="19"/>
              </w:rPr>
            </w:pPr>
            <w:r w:rsidRPr="002B722C">
              <w:rPr>
                <w:sz w:val="19"/>
                <w:szCs w:val="19"/>
              </w:rPr>
              <w:t>Shapiro and Keegan</w:t>
            </w:r>
            <w:r>
              <w:rPr>
                <w:sz w:val="19"/>
                <w:szCs w:val="19"/>
              </w:rPr>
              <w:t xml:space="preserve"> (1992)</w:t>
            </w:r>
          </w:p>
        </w:tc>
        <w:tc>
          <w:tcPr>
            <w:tcW w:w="1559" w:type="dxa"/>
            <w:vAlign w:val="center"/>
          </w:tcPr>
          <w:p w14:paraId="74EEE955" w14:textId="77777777" w:rsidR="00171EFA" w:rsidRPr="002B722C" w:rsidRDefault="00171EFA" w:rsidP="00383406">
            <w:pPr>
              <w:jc w:val="center"/>
              <w:rPr>
                <w:sz w:val="19"/>
                <w:szCs w:val="19"/>
              </w:rPr>
            </w:pPr>
            <w:r>
              <w:rPr>
                <w:sz w:val="19"/>
                <w:szCs w:val="19"/>
              </w:rPr>
              <w:t>No Comment</w:t>
            </w:r>
          </w:p>
        </w:tc>
        <w:tc>
          <w:tcPr>
            <w:tcW w:w="1276" w:type="dxa"/>
            <w:vAlign w:val="center"/>
          </w:tcPr>
          <w:p w14:paraId="0C7A695A" w14:textId="77777777" w:rsidR="00171EFA" w:rsidRPr="002B722C" w:rsidRDefault="00171EFA" w:rsidP="00383406">
            <w:pPr>
              <w:jc w:val="center"/>
              <w:rPr>
                <w:sz w:val="19"/>
                <w:szCs w:val="19"/>
              </w:rPr>
            </w:pPr>
            <w:r w:rsidRPr="002B722C">
              <w:rPr>
                <w:sz w:val="19"/>
                <w:szCs w:val="19"/>
              </w:rPr>
              <w:t>NR</w:t>
            </w:r>
          </w:p>
        </w:tc>
        <w:tc>
          <w:tcPr>
            <w:tcW w:w="1134" w:type="dxa"/>
            <w:vAlign w:val="center"/>
          </w:tcPr>
          <w:p w14:paraId="4F2864C1" w14:textId="77777777" w:rsidR="00171EFA" w:rsidRPr="002B722C" w:rsidRDefault="00171EFA" w:rsidP="00383406">
            <w:pPr>
              <w:jc w:val="center"/>
              <w:rPr>
                <w:sz w:val="19"/>
                <w:szCs w:val="19"/>
              </w:rPr>
            </w:pPr>
            <w:r w:rsidRPr="002B722C">
              <w:rPr>
                <w:sz w:val="19"/>
                <w:szCs w:val="19"/>
              </w:rPr>
              <w:t>NR</w:t>
            </w:r>
          </w:p>
        </w:tc>
        <w:tc>
          <w:tcPr>
            <w:tcW w:w="1275" w:type="dxa"/>
            <w:vAlign w:val="center"/>
          </w:tcPr>
          <w:p w14:paraId="5BAE2FC1" w14:textId="77777777" w:rsidR="00171EFA" w:rsidRPr="002B722C" w:rsidRDefault="00171EFA" w:rsidP="00383406">
            <w:pPr>
              <w:jc w:val="center"/>
              <w:rPr>
                <w:sz w:val="19"/>
                <w:szCs w:val="19"/>
              </w:rPr>
            </w:pPr>
            <w:r w:rsidRPr="002B722C">
              <w:rPr>
                <w:sz w:val="19"/>
                <w:szCs w:val="19"/>
              </w:rPr>
              <w:t>NR</w:t>
            </w:r>
          </w:p>
        </w:tc>
        <w:tc>
          <w:tcPr>
            <w:tcW w:w="3119" w:type="dxa"/>
            <w:vAlign w:val="center"/>
          </w:tcPr>
          <w:p w14:paraId="446AF1AE" w14:textId="77777777" w:rsidR="00171EFA" w:rsidRPr="002B722C" w:rsidRDefault="00171EFA" w:rsidP="00383406">
            <w:pPr>
              <w:rPr>
                <w:sz w:val="19"/>
                <w:szCs w:val="19"/>
              </w:rPr>
            </w:pPr>
            <w:r>
              <w:rPr>
                <w:sz w:val="19"/>
                <w:szCs w:val="19"/>
              </w:rPr>
              <w:t>No significant differences but mismatched groups; ISS controls 29, ISS rotation 45</w:t>
            </w:r>
          </w:p>
        </w:tc>
      </w:tr>
      <w:tr w:rsidR="00171EFA" w14:paraId="7CDF4F4F" w14:textId="77777777" w:rsidTr="00762245">
        <w:trPr>
          <w:trHeight w:val="555"/>
        </w:trPr>
        <w:tc>
          <w:tcPr>
            <w:tcW w:w="2269" w:type="dxa"/>
            <w:vAlign w:val="center"/>
          </w:tcPr>
          <w:p w14:paraId="38B5885F" w14:textId="60F5B3EE" w:rsidR="00171EFA" w:rsidRPr="002B722C" w:rsidRDefault="00171EFA" w:rsidP="00383406">
            <w:pPr>
              <w:rPr>
                <w:sz w:val="19"/>
                <w:szCs w:val="19"/>
              </w:rPr>
            </w:pPr>
            <w:proofErr w:type="spellStart"/>
            <w:r w:rsidRPr="002B722C">
              <w:rPr>
                <w:sz w:val="19"/>
                <w:szCs w:val="19"/>
              </w:rPr>
              <w:t>deBoisblanc</w:t>
            </w:r>
            <w:proofErr w:type="spellEnd"/>
            <w:r w:rsidRPr="002B722C">
              <w:rPr>
                <w:sz w:val="19"/>
                <w:szCs w:val="19"/>
              </w:rPr>
              <w:t xml:space="preserve"> et al</w:t>
            </w:r>
            <w:r>
              <w:rPr>
                <w:sz w:val="19"/>
                <w:szCs w:val="19"/>
              </w:rPr>
              <w:t xml:space="preserve"> (1993)</w:t>
            </w:r>
          </w:p>
        </w:tc>
        <w:tc>
          <w:tcPr>
            <w:tcW w:w="1559" w:type="dxa"/>
            <w:vAlign w:val="center"/>
          </w:tcPr>
          <w:p w14:paraId="273D7B48" w14:textId="77777777" w:rsidR="00171EFA" w:rsidRPr="002B722C" w:rsidRDefault="00171EFA" w:rsidP="00383406">
            <w:pPr>
              <w:jc w:val="center"/>
              <w:rPr>
                <w:sz w:val="19"/>
                <w:szCs w:val="19"/>
              </w:rPr>
            </w:pPr>
            <w:r w:rsidRPr="002B722C">
              <w:rPr>
                <w:sz w:val="19"/>
                <w:szCs w:val="19"/>
              </w:rPr>
              <w:t>Turned every 2 hours</w:t>
            </w:r>
          </w:p>
        </w:tc>
        <w:tc>
          <w:tcPr>
            <w:tcW w:w="1276" w:type="dxa"/>
            <w:vAlign w:val="center"/>
          </w:tcPr>
          <w:p w14:paraId="7CAF39AB" w14:textId="77777777" w:rsidR="00171EFA" w:rsidRPr="002B722C" w:rsidRDefault="00171EFA" w:rsidP="00383406">
            <w:pPr>
              <w:jc w:val="center"/>
              <w:rPr>
                <w:sz w:val="19"/>
                <w:szCs w:val="19"/>
              </w:rPr>
            </w:pPr>
            <w:r w:rsidRPr="002B722C">
              <w:rPr>
                <w:sz w:val="19"/>
                <w:szCs w:val="19"/>
              </w:rPr>
              <w:t>45°</w:t>
            </w:r>
          </w:p>
        </w:tc>
        <w:tc>
          <w:tcPr>
            <w:tcW w:w="1134" w:type="dxa"/>
            <w:vAlign w:val="center"/>
          </w:tcPr>
          <w:p w14:paraId="69443E05" w14:textId="77777777" w:rsidR="00171EFA" w:rsidRPr="002B722C" w:rsidRDefault="00171EFA" w:rsidP="00383406">
            <w:pPr>
              <w:jc w:val="center"/>
              <w:rPr>
                <w:sz w:val="19"/>
                <w:szCs w:val="19"/>
              </w:rPr>
            </w:pPr>
            <w:r w:rsidRPr="002B722C">
              <w:rPr>
                <w:sz w:val="19"/>
                <w:szCs w:val="19"/>
              </w:rPr>
              <w:t>8</w:t>
            </w:r>
          </w:p>
        </w:tc>
        <w:tc>
          <w:tcPr>
            <w:tcW w:w="1275" w:type="dxa"/>
            <w:vAlign w:val="center"/>
          </w:tcPr>
          <w:p w14:paraId="7A0C2B0B" w14:textId="77777777" w:rsidR="00171EFA" w:rsidRPr="002B722C" w:rsidRDefault="00171EFA" w:rsidP="00383406">
            <w:pPr>
              <w:jc w:val="center"/>
              <w:rPr>
                <w:sz w:val="19"/>
                <w:szCs w:val="19"/>
              </w:rPr>
            </w:pPr>
            <w:r w:rsidRPr="002B722C">
              <w:rPr>
                <w:sz w:val="19"/>
                <w:szCs w:val="19"/>
              </w:rPr>
              <w:t>≥18</w:t>
            </w:r>
          </w:p>
        </w:tc>
        <w:tc>
          <w:tcPr>
            <w:tcW w:w="3119" w:type="dxa"/>
            <w:vAlign w:val="center"/>
          </w:tcPr>
          <w:p w14:paraId="3FDC2E0C" w14:textId="77777777" w:rsidR="00171EFA" w:rsidRPr="002B722C" w:rsidRDefault="00171EFA" w:rsidP="00383406">
            <w:pPr>
              <w:rPr>
                <w:sz w:val="19"/>
                <w:szCs w:val="19"/>
              </w:rPr>
            </w:pPr>
            <w:r>
              <w:rPr>
                <w:sz w:val="19"/>
                <w:szCs w:val="19"/>
              </w:rPr>
              <w:t>Pneumonia less (95 vs 22%)</w:t>
            </w:r>
          </w:p>
        </w:tc>
      </w:tr>
      <w:tr w:rsidR="00171EFA" w14:paraId="6159DC13" w14:textId="77777777" w:rsidTr="00762245">
        <w:trPr>
          <w:trHeight w:val="541"/>
        </w:trPr>
        <w:tc>
          <w:tcPr>
            <w:tcW w:w="2269" w:type="dxa"/>
            <w:vAlign w:val="center"/>
          </w:tcPr>
          <w:p w14:paraId="1DF27872" w14:textId="4AA9F2E3" w:rsidR="00171EFA" w:rsidRPr="002B722C" w:rsidRDefault="00171EFA" w:rsidP="00383406">
            <w:pPr>
              <w:rPr>
                <w:sz w:val="19"/>
                <w:szCs w:val="19"/>
              </w:rPr>
            </w:pPr>
            <w:r w:rsidRPr="002B722C">
              <w:rPr>
                <w:sz w:val="19"/>
                <w:szCs w:val="19"/>
              </w:rPr>
              <w:t>Whiteman et al</w:t>
            </w:r>
            <w:r>
              <w:rPr>
                <w:sz w:val="19"/>
                <w:szCs w:val="19"/>
              </w:rPr>
              <w:t xml:space="preserve"> (1995)</w:t>
            </w:r>
          </w:p>
        </w:tc>
        <w:tc>
          <w:tcPr>
            <w:tcW w:w="1559" w:type="dxa"/>
            <w:vAlign w:val="center"/>
          </w:tcPr>
          <w:p w14:paraId="7A0372DF" w14:textId="77777777" w:rsidR="00171EFA" w:rsidRPr="002B722C" w:rsidRDefault="00171EFA" w:rsidP="00383406">
            <w:pPr>
              <w:jc w:val="center"/>
              <w:rPr>
                <w:sz w:val="19"/>
                <w:szCs w:val="19"/>
              </w:rPr>
            </w:pPr>
            <w:r w:rsidRPr="002B722C">
              <w:rPr>
                <w:sz w:val="19"/>
                <w:szCs w:val="19"/>
              </w:rPr>
              <w:t>Turned every 2 hours</w:t>
            </w:r>
          </w:p>
        </w:tc>
        <w:tc>
          <w:tcPr>
            <w:tcW w:w="1276" w:type="dxa"/>
            <w:vAlign w:val="center"/>
          </w:tcPr>
          <w:p w14:paraId="715ABD76" w14:textId="77777777" w:rsidR="00171EFA" w:rsidRPr="002B722C" w:rsidRDefault="00171EFA" w:rsidP="00383406">
            <w:pPr>
              <w:jc w:val="center"/>
              <w:rPr>
                <w:sz w:val="19"/>
                <w:szCs w:val="19"/>
              </w:rPr>
            </w:pPr>
            <w:r w:rsidRPr="002B722C">
              <w:rPr>
                <w:sz w:val="19"/>
                <w:szCs w:val="19"/>
              </w:rPr>
              <w:t>30°</w:t>
            </w:r>
          </w:p>
        </w:tc>
        <w:tc>
          <w:tcPr>
            <w:tcW w:w="1134" w:type="dxa"/>
            <w:vAlign w:val="center"/>
          </w:tcPr>
          <w:p w14:paraId="412339CC" w14:textId="77777777" w:rsidR="00171EFA" w:rsidRPr="002B722C" w:rsidRDefault="00171EFA" w:rsidP="00383406">
            <w:pPr>
              <w:jc w:val="center"/>
              <w:rPr>
                <w:sz w:val="19"/>
                <w:szCs w:val="19"/>
              </w:rPr>
            </w:pPr>
            <w:r w:rsidRPr="002B722C">
              <w:rPr>
                <w:sz w:val="19"/>
                <w:szCs w:val="19"/>
              </w:rPr>
              <w:t>8</w:t>
            </w:r>
          </w:p>
        </w:tc>
        <w:tc>
          <w:tcPr>
            <w:tcW w:w="1275" w:type="dxa"/>
            <w:vAlign w:val="center"/>
          </w:tcPr>
          <w:p w14:paraId="7F6D3088" w14:textId="77777777" w:rsidR="00171EFA" w:rsidRPr="002B722C" w:rsidRDefault="00171EFA" w:rsidP="00383406">
            <w:pPr>
              <w:jc w:val="center"/>
              <w:rPr>
                <w:sz w:val="19"/>
                <w:szCs w:val="19"/>
              </w:rPr>
            </w:pPr>
            <w:r w:rsidRPr="002B722C">
              <w:rPr>
                <w:sz w:val="19"/>
                <w:szCs w:val="19"/>
              </w:rPr>
              <w:t>NR</w:t>
            </w:r>
          </w:p>
        </w:tc>
        <w:tc>
          <w:tcPr>
            <w:tcW w:w="3119" w:type="dxa"/>
            <w:vAlign w:val="center"/>
          </w:tcPr>
          <w:p w14:paraId="1AEBC10D" w14:textId="77777777" w:rsidR="00171EFA" w:rsidRPr="002B722C" w:rsidRDefault="00171EFA" w:rsidP="00383406">
            <w:pPr>
              <w:rPr>
                <w:sz w:val="19"/>
                <w:szCs w:val="19"/>
              </w:rPr>
            </w:pPr>
            <w:r>
              <w:rPr>
                <w:sz w:val="19"/>
                <w:szCs w:val="19"/>
              </w:rPr>
              <w:t>Fewer respiratory tract infections (36.4% vs 58.3%), and time to onset delayed</w:t>
            </w:r>
          </w:p>
        </w:tc>
      </w:tr>
      <w:tr w:rsidR="00171EFA" w14:paraId="14A49A1A" w14:textId="77777777" w:rsidTr="00762245">
        <w:trPr>
          <w:trHeight w:val="555"/>
        </w:trPr>
        <w:tc>
          <w:tcPr>
            <w:tcW w:w="2269" w:type="dxa"/>
            <w:vAlign w:val="center"/>
          </w:tcPr>
          <w:p w14:paraId="4F5CA243" w14:textId="74820F3F" w:rsidR="00171EFA" w:rsidRPr="002B722C" w:rsidRDefault="00171EFA" w:rsidP="00383406">
            <w:pPr>
              <w:rPr>
                <w:sz w:val="19"/>
                <w:szCs w:val="19"/>
              </w:rPr>
            </w:pPr>
            <w:r w:rsidRPr="002B722C">
              <w:rPr>
                <w:sz w:val="19"/>
                <w:szCs w:val="19"/>
              </w:rPr>
              <w:t>Traver et al</w:t>
            </w:r>
            <w:r>
              <w:rPr>
                <w:sz w:val="19"/>
                <w:szCs w:val="19"/>
              </w:rPr>
              <w:t xml:space="preserve"> (1995)</w:t>
            </w:r>
          </w:p>
        </w:tc>
        <w:tc>
          <w:tcPr>
            <w:tcW w:w="1559" w:type="dxa"/>
            <w:vAlign w:val="center"/>
          </w:tcPr>
          <w:p w14:paraId="2FC9CA9E" w14:textId="77777777" w:rsidR="00171EFA" w:rsidRPr="002B722C" w:rsidRDefault="00171EFA" w:rsidP="00383406">
            <w:pPr>
              <w:jc w:val="center"/>
              <w:rPr>
                <w:sz w:val="19"/>
                <w:szCs w:val="19"/>
              </w:rPr>
            </w:pPr>
            <w:r w:rsidRPr="002B722C">
              <w:rPr>
                <w:sz w:val="19"/>
                <w:szCs w:val="19"/>
              </w:rPr>
              <w:t>Turned every 2 hours</w:t>
            </w:r>
          </w:p>
        </w:tc>
        <w:tc>
          <w:tcPr>
            <w:tcW w:w="1276" w:type="dxa"/>
            <w:vAlign w:val="center"/>
          </w:tcPr>
          <w:p w14:paraId="6B6EE6EA" w14:textId="77777777" w:rsidR="00171EFA" w:rsidRPr="002B722C" w:rsidRDefault="00171EFA" w:rsidP="00383406">
            <w:pPr>
              <w:jc w:val="center"/>
              <w:rPr>
                <w:sz w:val="19"/>
                <w:szCs w:val="19"/>
              </w:rPr>
            </w:pPr>
            <w:r w:rsidRPr="002B722C">
              <w:rPr>
                <w:sz w:val="19"/>
                <w:szCs w:val="19"/>
              </w:rPr>
              <w:t>Up to 40°</w:t>
            </w:r>
          </w:p>
        </w:tc>
        <w:tc>
          <w:tcPr>
            <w:tcW w:w="1134" w:type="dxa"/>
            <w:vAlign w:val="center"/>
          </w:tcPr>
          <w:p w14:paraId="189D7ED8" w14:textId="77777777" w:rsidR="00171EFA" w:rsidRPr="002B722C" w:rsidRDefault="00171EFA" w:rsidP="00383406">
            <w:pPr>
              <w:jc w:val="center"/>
              <w:rPr>
                <w:sz w:val="19"/>
                <w:szCs w:val="19"/>
              </w:rPr>
            </w:pPr>
            <w:r w:rsidRPr="002B722C">
              <w:rPr>
                <w:sz w:val="19"/>
                <w:szCs w:val="19"/>
              </w:rPr>
              <w:t>3</w:t>
            </w:r>
          </w:p>
        </w:tc>
        <w:tc>
          <w:tcPr>
            <w:tcW w:w="1275" w:type="dxa"/>
            <w:vAlign w:val="center"/>
          </w:tcPr>
          <w:p w14:paraId="6D17E43B" w14:textId="77777777" w:rsidR="00171EFA" w:rsidRPr="002B722C" w:rsidRDefault="00171EFA" w:rsidP="00383406">
            <w:pPr>
              <w:jc w:val="center"/>
              <w:rPr>
                <w:sz w:val="19"/>
                <w:szCs w:val="19"/>
              </w:rPr>
            </w:pPr>
            <w:r w:rsidRPr="002B722C">
              <w:rPr>
                <w:sz w:val="19"/>
                <w:szCs w:val="19"/>
              </w:rPr>
              <w:t>NR</w:t>
            </w:r>
          </w:p>
        </w:tc>
        <w:tc>
          <w:tcPr>
            <w:tcW w:w="3119" w:type="dxa"/>
            <w:vAlign w:val="center"/>
          </w:tcPr>
          <w:p w14:paraId="489B9B60" w14:textId="77777777" w:rsidR="00171EFA" w:rsidRPr="002B722C" w:rsidRDefault="00171EFA" w:rsidP="00383406">
            <w:pPr>
              <w:rPr>
                <w:sz w:val="19"/>
                <w:szCs w:val="19"/>
              </w:rPr>
            </w:pPr>
            <w:r>
              <w:rPr>
                <w:sz w:val="19"/>
                <w:szCs w:val="19"/>
              </w:rPr>
              <w:t>No significant differences</w:t>
            </w:r>
          </w:p>
        </w:tc>
      </w:tr>
      <w:tr w:rsidR="00171EFA" w14:paraId="3715378C" w14:textId="77777777" w:rsidTr="00762245">
        <w:trPr>
          <w:trHeight w:val="555"/>
        </w:trPr>
        <w:tc>
          <w:tcPr>
            <w:tcW w:w="2269" w:type="dxa"/>
            <w:vAlign w:val="center"/>
          </w:tcPr>
          <w:p w14:paraId="09B8A453" w14:textId="24B9AF4D" w:rsidR="00171EFA" w:rsidRPr="002B722C" w:rsidRDefault="00171EFA" w:rsidP="00383406">
            <w:pPr>
              <w:rPr>
                <w:sz w:val="19"/>
                <w:szCs w:val="19"/>
              </w:rPr>
            </w:pPr>
            <w:proofErr w:type="spellStart"/>
            <w:r w:rsidRPr="002B722C">
              <w:rPr>
                <w:sz w:val="19"/>
                <w:szCs w:val="19"/>
              </w:rPr>
              <w:t>Raoof</w:t>
            </w:r>
            <w:proofErr w:type="spellEnd"/>
            <w:r w:rsidRPr="002B722C">
              <w:rPr>
                <w:sz w:val="19"/>
                <w:szCs w:val="19"/>
              </w:rPr>
              <w:t xml:space="preserve"> et al</w:t>
            </w:r>
            <w:r>
              <w:rPr>
                <w:sz w:val="19"/>
                <w:szCs w:val="19"/>
              </w:rPr>
              <w:t xml:space="preserve"> (1999)</w:t>
            </w:r>
          </w:p>
        </w:tc>
        <w:tc>
          <w:tcPr>
            <w:tcW w:w="1559" w:type="dxa"/>
            <w:vAlign w:val="center"/>
          </w:tcPr>
          <w:p w14:paraId="0B84C591" w14:textId="77777777" w:rsidR="00171EFA" w:rsidRPr="002B722C" w:rsidRDefault="00171EFA" w:rsidP="00383406">
            <w:pPr>
              <w:jc w:val="center"/>
              <w:rPr>
                <w:sz w:val="19"/>
                <w:szCs w:val="19"/>
              </w:rPr>
            </w:pPr>
            <w:r w:rsidRPr="002B722C">
              <w:rPr>
                <w:sz w:val="19"/>
                <w:szCs w:val="19"/>
              </w:rPr>
              <w:t>Turned every 2 hours</w:t>
            </w:r>
          </w:p>
        </w:tc>
        <w:tc>
          <w:tcPr>
            <w:tcW w:w="1276" w:type="dxa"/>
            <w:vAlign w:val="center"/>
          </w:tcPr>
          <w:p w14:paraId="7F9C151A" w14:textId="77777777" w:rsidR="00171EFA" w:rsidRPr="002B722C" w:rsidRDefault="00171EFA" w:rsidP="00383406">
            <w:pPr>
              <w:jc w:val="center"/>
              <w:rPr>
                <w:sz w:val="19"/>
                <w:szCs w:val="19"/>
              </w:rPr>
            </w:pPr>
            <w:r w:rsidRPr="002B722C">
              <w:rPr>
                <w:sz w:val="19"/>
                <w:szCs w:val="19"/>
              </w:rPr>
              <w:t>45°</w:t>
            </w:r>
          </w:p>
        </w:tc>
        <w:tc>
          <w:tcPr>
            <w:tcW w:w="1134" w:type="dxa"/>
            <w:vAlign w:val="center"/>
          </w:tcPr>
          <w:p w14:paraId="21E286F3" w14:textId="77777777" w:rsidR="00171EFA" w:rsidRPr="002B722C" w:rsidRDefault="00171EFA" w:rsidP="00383406">
            <w:pPr>
              <w:jc w:val="center"/>
              <w:rPr>
                <w:sz w:val="19"/>
                <w:szCs w:val="19"/>
              </w:rPr>
            </w:pPr>
            <w:r w:rsidRPr="002B722C">
              <w:rPr>
                <w:sz w:val="19"/>
                <w:szCs w:val="19"/>
              </w:rPr>
              <w:t>4</w:t>
            </w:r>
          </w:p>
        </w:tc>
        <w:tc>
          <w:tcPr>
            <w:tcW w:w="1275" w:type="dxa"/>
            <w:vAlign w:val="center"/>
          </w:tcPr>
          <w:p w14:paraId="0A5FDF8A" w14:textId="77777777" w:rsidR="00171EFA" w:rsidRPr="002B722C" w:rsidRDefault="00171EFA" w:rsidP="00383406">
            <w:pPr>
              <w:jc w:val="center"/>
              <w:rPr>
                <w:sz w:val="19"/>
                <w:szCs w:val="19"/>
              </w:rPr>
            </w:pPr>
            <w:r w:rsidRPr="002B722C">
              <w:rPr>
                <w:sz w:val="19"/>
                <w:szCs w:val="19"/>
              </w:rPr>
              <w:t>≥18</w:t>
            </w:r>
          </w:p>
        </w:tc>
        <w:tc>
          <w:tcPr>
            <w:tcW w:w="3119" w:type="dxa"/>
            <w:vAlign w:val="center"/>
          </w:tcPr>
          <w:p w14:paraId="1B0F5AA5" w14:textId="77777777" w:rsidR="00171EFA" w:rsidRPr="002B722C" w:rsidRDefault="00171EFA" w:rsidP="00383406">
            <w:pPr>
              <w:rPr>
                <w:sz w:val="19"/>
                <w:szCs w:val="19"/>
              </w:rPr>
            </w:pPr>
            <w:r>
              <w:rPr>
                <w:sz w:val="19"/>
                <w:szCs w:val="19"/>
              </w:rPr>
              <w:t>Atelectasis resolved partially or completely (14.3% vs 82.3%), higher PaO</w:t>
            </w:r>
            <w:r w:rsidRPr="007A240F">
              <w:rPr>
                <w:sz w:val="19"/>
                <w:szCs w:val="19"/>
                <w:vertAlign w:val="subscript"/>
              </w:rPr>
              <w:t>2</w:t>
            </w:r>
            <w:r>
              <w:rPr>
                <w:sz w:val="19"/>
                <w:szCs w:val="19"/>
              </w:rPr>
              <w:t>:FIO</w:t>
            </w:r>
            <w:r w:rsidRPr="007A240F">
              <w:rPr>
                <w:sz w:val="19"/>
                <w:szCs w:val="19"/>
                <w:vertAlign w:val="subscript"/>
              </w:rPr>
              <w:t>2</w:t>
            </w:r>
            <w:r>
              <w:rPr>
                <w:sz w:val="19"/>
                <w:szCs w:val="19"/>
              </w:rPr>
              <w:t xml:space="preserve"> on days 3, 7 and 10</w:t>
            </w:r>
          </w:p>
        </w:tc>
      </w:tr>
      <w:tr w:rsidR="00171EFA" w14:paraId="13DBB151" w14:textId="77777777" w:rsidTr="00762245">
        <w:trPr>
          <w:trHeight w:val="270"/>
        </w:trPr>
        <w:tc>
          <w:tcPr>
            <w:tcW w:w="2269" w:type="dxa"/>
            <w:vAlign w:val="center"/>
          </w:tcPr>
          <w:p w14:paraId="4400B3E6" w14:textId="684DB31F" w:rsidR="00171EFA" w:rsidRPr="002B722C" w:rsidRDefault="00171EFA" w:rsidP="00383406">
            <w:pPr>
              <w:rPr>
                <w:sz w:val="19"/>
                <w:szCs w:val="19"/>
              </w:rPr>
            </w:pPr>
            <w:proofErr w:type="spellStart"/>
            <w:r w:rsidRPr="002B722C">
              <w:rPr>
                <w:sz w:val="19"/>
                <w:szCs w:val="19"/>
              </w:rPr>
              <w:t>MacIntyre</w:t>
            </w:r>
            <w:proofErr w:type="spellEnd"/>
            <w:r w:rsidRPr="002B722C">
              <w:rPr>
                <w:sz w:val="19"/>
                <w:szCs w:val="19"/>
              </w:rPr>
              <w:t xml:space="preserve"> et al</w:t>
            </w:r>
            <w:r>
              <w:rPr>
                <w:sz w:val="19"/>
                <w:szCs w:val="19"/>
              </w:rPr>
              <w:t xml:space="preserve"> (1999)</w:t>
            </w:r>
          </w:p>
        </w:tc>
        <w:tc>
          <w:tcPr>
            <w:tcW w:w="1559" w:type="dxa"/>
            <w:vAlign w:val="center"/>
          </w:tcPr>
          <w:p w14:paraId="6A0267AD" w14:textId="77777777" w:rsidR="00171EFA" w:rsidRPr="002B722C" w:rsidRDefault="00171EFA" w:rsidP="00383406">
            <w:pPr>
              <w:jc w:val="center"/>
              <w:rPr>
                <w:sz w:val="19"/>
                <w:szCs w:val="19"/>
              </w:rPr>
            </w:pPr>
            <w:r>
              <w:rPr>
                <w:sz w:val="19"/>
                <w:szCs w:val="19"/>
              </w:rPr>
              <w:t>No comment</w:t>
            </w:r>
          </w:p>
        </w:tc>
        <w:tc>
          <w:tcPr>
            <w:tcW w:w="1276" w:type="dxa"/>
            <w:vAlign w:val="center"/>
          </w:tcPr>
          <w:p w14:paraId="795051FA" w14:textId="77777777" w:rsidR="00171EFA" w:rsidRPr="002B722C" w:rsidRDefault="00171EFA" w:rsidP="00383406">
            <w:pPr>
              <w:jc w:val="center"/>
              <w:rPr>
                <w:sz w:val="19"/>
                <w:szCs w:val="19"/>
              </w:rPr>
            </w:pPr>
            <w:r w:rsidRPr="002B722C">
              <w:rPr>
                <w:sz w:val="19"/>
                <w:szCs w:val="19"/>
              </w:rPr>
              <w:t>32°</w:t>
            </w:r>
          </w:p>
        </w:tc>
        <w:tc>
          <w:tcPr>
            <w:tcW w:w="1134" w:type="dxa"/>
            <w:vAlign w:val="center"/>
          </w:tcPr>
          <w:p w14:paraId="1965E6DF" w14:textId="77777777" w:rsidR="00171EFA" w:rsidRPr="002B722C" w:rsidRDefault="00171EFA" w:rsidP="00383406">
            <w:pPr>
              <w:jc w:val="center"/>
              <w:rPr>
                <w:sz w:val="19"/>
                <w:szCs w:val="19"/>
              </w:rPr>
            </w:pPr>
            <w:r w:rsidRPr="002B722C">
              <w:rPr>
                <w:sz w:val="19"/>
                <w:szCs w:val="19"/>
              </w:rPr>
              <w:t>8</w:t>
            </w:r>
          </w:p>
        </w:tc>
        <w:tc>
          <w:tcPr>
            <w:tcW w:w="1275" w:type="dxa"/>
            <w:vAlign w:val="center"/>
          </w:tcPr>
          <w:p w14:paraId="7556C702" w14:textId="77777777" w:rsidR="00171EFA" w:rsidRPr="002B722C" w:rsidRDefault="00171EFA" w:rsidP="00383406">
            <w:pPr>
              <w:jc w:val="center"/>
              <w:rPr>
                <w:sz w:val="19"/>
                <w:szCs w:val="19"/>
              </w:rPr>
            </w:pPr>
            <w:r w:rsidRPr="002B722C">
              <w:rPr>
                <w:sz w:val="19"/>
                <w:szCs w:val="19"/>
              </w:rPr>
              <w:t>24</w:t>
            </w:r>
          </w:p>
        </w:tc>
        <w:tc>
          <w:tcPr>
            <w:tcW w:w="3119" w:type="dxa"/>
            <w:vAlign w:val="center"/>
          </w:tcPr>
          <w:p w14:paraId="1D1D9B4E" w14:textId="77777777" w:rsidR="00171EFA" w:rsidRPr="002B722C" w:rsidRDefault="00171EFA" w:rsidP="00383406">
            <w:pPr>
              <w:rPr>
                <w:sz w:val="19"/>
                <w:szCs w:val="19"/>
              </w:rPr>
            </w:pPr>
            <w:r>
              <w:rPr>
                <w:sz w:val="19"/>
                <w:szCs w:val="19"/>
              </w:rPr>
              <w:t>Fewer urinary tract infections (11% vs 27%)</w:t>
            </w:r>
          </w:p>
        </w:tc>
      </w:tr>
      <w:tr w:rsidR="00171EFA" w14:paraId="2BD7AD94" w14:textId="77777777" w:rsidTr="00762245">
        <w:trPr>
          <w:trHeight w:val="555"/>
        </w:trPr>
        <w:tc>
          <w:tcPr>
            <w:tcW w:w="2269" w:type="dxa"/>
            <w:vAlign w:val="center"/>
          </w:tcPr>
          <w:p w14:paraId="6E2E29D2" w14:textId="14F63653" w:rsidR="00171EFA" w:rsidRPr="002B722C" w:rsidRDefault="00171EFA" w:rsidP="00383406">
            <w:pPr>
              <w:rPr>
                <w:sz w:val="19"/>
                <w:szCs w:val="19"/>
              </w:rPr>
            </w:pPr>
            <w:r w:rsidRPr="002B722C">
              <w:rPr>
                <w:sz w:val="19"/>
                <w:szCs w:val="19"/>
              </w:rPr>
              <w:t>Maclean</w:t>
            </w:r>
            <w:r>
              <w:rPr>
                <w:sz w:val="19"/>
                <w:szCs w:val="19"/>
              </w:rPr>
              <w:t xml:space="preserve"> (2001)</w:t>
            </w:r>
          </w:p>
        </w:tc>
        <w:tc>
          <w:tcPr>
            <w:tcW w:w="1559" w:type="dxa"/>
            <w:vAlign w:val="center"/>
          </w:tcPr>
          <w:p w14:paraId="7C073C5F" w14:textId="77777777" w:rsidR="00171EFA" w:rsidRPr="002B722C" w:rsidRDefault="00171EFA" w:rsidP="00383406">
            <w:pPr>
              <w:jc w:val="center"/>
              <w:rPr>
                <w:sz w:val="19"/>
                <w:szCs w:val="19"/>
              </w:rPr>
            </w:pPr>
            <w:r w:rsidRPr="002B722C">
              <w:rPr>
                <w:sz w:val="19"/>
                <w:szCs w:val="19"/>
              </w:rPr>
              <w:t>Turned every 2 hours</w:t>
            </w:r>
          </w:p>
        </w:tc>
        <w:tc>
          <w:tcPr>
            <w:tcW w:w="1276" w:type="dxa"/>
            <w:vAlign w:val="center"/>
          </w:tcPr>
          <w:p w14:paraId="3CA3F5AF" w14:textId="77777777" w:rsidR="00171EFA" w:rsidRPr="002B722C" w:rsidRDefault="00171EFA" w:rsidP="00383406">
            <w:pPr>
              <w:jc w:val="center"/>
              <w:rPr>
                <w:sz w:val="19"/>
                <w:szCs w:val="19"/>
              </w:rPr>
            </w:pPr>
            <w:r w:rsidRPr="002B722C">
              <w:rPr>
                <w:sz w:val="19"/>
                <w:szCs w:val="19"/>
              </w:rPr>
              <w:t>45°</w:t>
            </w:r>
          </w:p>
        </w:tc>
        <w:tc>
          <w:tcPr>
            <w:tcW w:w="1134" w:type="dxa"/>
            <w:vAlign w:val="center"/>
          </w:tcPr>
          <w:p w14:paraId="79150713" w14:textId="77777777" w:rsidR="00171EFA" w:rsidRPr="002B722C" w:rsidRDefault="00171EFA" w:rsidP="00383406">
            <w:pPr>
              <w:jc w:val="center"/>
              <w:rPr>
                <w:sz w:val="19"/>
                <w:szCs w:val="19"/>
              </w:rPr>
            </w:pPr>
            <w:r w:rsidRPr="002B722C">
              <w:rPr>
                <w:sz w:val="19"/>
                <w:szCs w:val="19"/>
              </w:rPr>
              <w:t>2</w:t>
            </w:r>
          </w:p>
        </w:tc>
        <w:tc>
          <w:tcPr>
            <w:tcW w:w="1275" w:type="dxa"/>
            <w:vAlign w:val="center"/>
          </w:tcPr>
          <w:p w14:paraId="36BD4F33" w14:textId="77777777" w:rsidR="00171EFA" w:rsidRPr="002B722C" w:rsidRDefault="00171EFA" w:rsidP="00383406">
            <w:pPr>
              <w:jc w:val="center"/>
              <w:rPr>
                <w:sz w:val="19"/>
                <w:szCs w:val="19"/>
              </w:rPr>
            </w:pPr>
            <w:r w:rsidRPr="002B722C">
              <w:rPr>
                <w:sz w:val="19"/>
                <w:szCs w:val="19"/>
              </w:rPr>
              <w:t>18</w:t>
            </w:r>
          </w:p>
        </w:tc>
        <w:tc>
          <w:tcPr>
            <w:tcW w:w="3119" w:type="dxa"/>
            <w:vAlign w:val="center"/>
          </w:tcPr>
          <w:p w14:paraId="17943591" w14:textId="77777777" w:rsidR="00171EFA" w:rsidRPr="002B722C" w:rsidRDefault="00171EFA" w:rsidP="00383406">
            <w:pPr>
              <w:rPr>
                <w:sz w:val="19"/>
                <w:szCs w:val="19"/>
              </w:rPr>
            </w:pPr>
            <w:r>
              <w:rPr>
                <w:sz w:val="19"/>
                <w:szCs w:val="19"/>
              </w:rPr>
              <w:t>No statistical analysis</w:t>
            </w:r>
          </w:p>
        </w:tc>
      </w:tr>
      <w:tr w:rsidR="00171EFA" w14:paraId="2BE56539" w14:textId="77777777" w:rsidTr="00762245">
        <w:trPr>
          <w:trHeight w:val="555"/>
        </w:trPr>
        <w:tc>
          <w:tcPr>
            <w:tcW w:w="2269" w:type="dxa"/>
            <w:vAlign w:val="center"/>
          </w:tcPr>
          <w:p w14:paraId="225EC2CF" w14:textId="77777777" w:rsidR="00171EFA" w:rsidRDefault="00171EFA" w:rsidP="00383406">
            <w:pPr>
              <w:rPr>
                <w:sz w:val="19"/>
                <w:szCs w:val="19"/>
              </w:rPr>
            </w:pPr>
            <w:r w:rsidRPr="002B722C">
              <w:rPr>
                <w:sz w:val="19"/>
                <w:szCs w:val="19"/>
              </w:rPr>
              <w:t>Kirschenbaum et al</w:t>
            </w:r>
          </w:p>
          <w:p w14:paraId="0C2ADF8F" w14:textId="7FF8185B" w:rsidR="00171EFA" w:rsidRPr="002B722C" w:rsidRDefault="00171EFA" w:rsidP="00383406">
            <w:pPr>
              <w:rPr>
                <w:sz w:val="19"/>
                <w:szCs w:val="19"/>
              </w:rPr>
            </w:pPr>
            <w:r>
              <w:rPr>
                <w:sz w:val="19"/>
                <w:szCs w:val="19"/>
              </w:rPr>
              <w:t>(1983-86)</w:t>
            </w:r>
          </w:p>
        </w:tc>
        <w:tc>
          <w:tcPr>
            <w:tcW w:w="1559" w:type="dxa"/>
            <w:vAlign w:val="center"/>
          </w:tcPr>
          <w:p w14:paraId="63CF2DCA" w14:textId="77777777" w:rsidR="00171EFA" w:rsidRPr="002B722C" w:rsidRDefault="00171EFA" w:rsidP="00383406">
            <w:pPr>
              <w:jc w:val="center"/>
              <w:rPr>
                <w:sz w:val="19"/>
                <w:szCs w:val="19"/>
              </w:rPr>
            </w:pPr>
            <w:r w:rsidRPr="002B722C">
              <w:rPr>
                <w:sz w:val="19"/>
                <w:szCs w:val="19"/>
              </w:rPr>
              <w:t>Turned every 2 hours</w:t>
            </w:r>
          </w:p>
        </w:tc>
        <w:tc>
          <w:tcPr>
            <w:tcW w:w="1276" w:type="dxa"/>
            <w:vAlign w:val="center"/>
          </w:tcPr>
          <w:p w14:paraId="1E1C8B1B" w14:textId="77777777" w:rsidR="00171EFA" w:rsidRPr="002B722C" w:rsidRDefault="00171EFA" w:rsidP="00383406">
            <w:pPr>
              <w:jc w:val="center"/>
              <w:rPr>
                <w:sz w:val="19"/>
                <w:szCs w:val="19"/>
              </w:rPr>
            </w:pPr>
            <w:r w:rsidRPr="002B722C">
              <w:rPr>
                <w:sz w:val="19"/>
                <w:szCs w:val="19"/>
              </w:rPr>
              <w:t>30°</w:t>
            </w:r>
          </w:p>
        </w:tc>
        <w:tc>
          <w:tcPr>
            <w:tcW w:w="1134" w:type="dxa"/>
            <w:vAlign w:val="center"/>
          </w:tcPr>
          <w:p w14:paraId="481153CA" w14:textId="77777777" w:rsidR="00171EFA" w:rsidRPr="002B722C" w:rsidRDefault="00171EFA" w:rsidP="00383406">
            <w:pPr>
              <w:jc w:val="center"/>
              <w:rPr>
                <w:sz w:val="19"/>
                <w:szCs w:val="19"/>
              </w:rPr>
            </w:pPr>
            <w:r w:rsidRPr="002B722C">
              <w:rPr>
                <w:sz w:val="19"/>
                <w:szCs w:val="19"/>
              </w:rPr>
              <w:t>NR</w:t>
            </w:r>
          </w:p>
        </w:tc>
        <w:tc>
          <w:tcPr>
            <w:tcW w:w="1275" w:type="dxa"/>
            <w:vAlign w:val="center"/>
          </w:tcPr>
          <w:p w14:paraId="5BC84313" w14:textId="77777777" w:rsidR="00171EFA" w:rsidRPr="002B722C" w:rsidRDefault="00171EFA" w:rsidP="00383406">
            <w:pPr>
              <w:jc w:val="center"/>
              <w:rPr>
                <w:sz w:val="19"/>
                <w:szCs w:val="19"/>
              </w:rPr>
            </w:pPr>
            <w:r w:rsidRPr="002B722C">
              <w:rPr>
                <w:sz w:val="19"/>
                <w:szCs w:val="19"/>
              </w:rPr>
              <w:t>18</w:t>
            </w:r>
          </w:p>
        </w:tc>
        <w:tc>
          <w:tcPr>
            <w:tcW w:w="3119" w:type="dxa"/>
            <w:vAlign w:val="center"/>
          </w:tcPr>
          <w:p w14:paraId="2CC20FD0" w14:textId="77777777" w:rsidR="00171EFA" w:rsidRPr="002B722C" w:rsidRDefault="00171EFA" w:rsidP="00383406">
            <w:pPr>
              <w:rPr>
                <w:sz w:val="19"/>
                <w:szCs w:val="19"/>
              </w:rPr>
            </w:pPr>
            <w:r>
              <w:rPr>
                <w:sz w:val="19"/>
                <w:szCs w:val="19"/>
              </w:rPr>
              <w:t>Lower prevalence (17.5% vs 50%), delayed onset of pneumonia (29 vs 12 days)</w:t>
            </w:r>
          </w:p>
        </w:tc>
      </w:tr>
      <w:tr w:rsidR="00171EFA" w14:paraId="66BDEA8A" w14:textId="77777777" w:rsidTr="00762245">
        <w:trPr>
          <w:trHeight w:val="541"/>
        </w:trPr>
        <w:tc>
          <w:tcPr>
            <w:tcW w:w="2269" w:type="dxa"/>
            <w:vAlign w:val="center"/>
          </w:tcPr>
          <w:p w14:paraId="1A68FA33" w14:textId="173BDA29" w:rsidR="00171EFA" w:rsidRPr="002B722C" w:rsidRDefault="00171EFA" w:rsidP="00383406">
            <w:pPr>
              <w:rPr>
                <w:sz w:val="19"/>
                <w:szCs w:val="19"/>
              </w:rPr>
            </w:pPr>
            <w:r w:rsidRPr="002B722C">
              <w:rPr>
                <w:sz w:val="19"/>
                <w:szCs w:val="19"/>
              </w:rPr>
              <w:t>Ahrens et al</w:t>
            </w:r>
            <w:r>
              <w:rPr>
                <w:sz w:val="19"/>
                <w:szCs w:val="19"/>
              </w:rPr>
              <w:t xml:space="preserve"> (2004)</w:t>
            </w:r>
          </w:p>
        </w:tc>
        <w:tc>
          <w:tcPr>
            <w:tcW w:w="1559" w:type="dxa"/>
            <w:vAlign w:val="center"/>
          </w:tcPr>
          <w:p w14:paraId="48533CBC" w14:textId="77777777" w:rsidR="00171EFA" w:rsidRPr="002B722C" w:rsidRDefault="00171EFA" w:rsidP="00383406">
            <w:pPr>
              <w:jc w:val="center"/>
              <w:rPr>
                <w:sz w:val="19"/>
                <w:szCs w:val="19"/>
              </w:rPr>
            </w:pPr>
            <w:r w:rsidRPr="002B722C">
              <w:rPr>
                <w:sz w:val="19"/>
                <w:szCs w:val="19"/>
              </w:rPr>
              <w:t>Turned every 2 hours</w:t>
            </w:r>
          </w:p>
        </w:tc>
        <w:tc>
          <w:tcPr>
            <w:tcW w:w="1276" w:type="dxa"/>
            <w:vAlign w:val="center"/>
          </w:tcPr>
          <w:p w14:paraId="3C4DD9B4" w14:textId="77777777" w:rsidR="00171EFA" w:rsidRPr="002B722C" w:rsidRDefault="00171EFA" w:rsidP="00383406">
            <w:pPr>
              <w:jc w:val="center"/>
              <w:rPr>
                <w:sz w:val="19"/>
                <w:szCs w:val="19"/>
              </w:rPr>
            </w:pPr>
            <w:r w:rsidRPr="002B722C">
              <w:rPr>
                <w:sz w:val="19"/>
                <w:szCs w:val="19"/>
              </w:rPr>
              <w:t>40°</w:t>
            </w:r>
          </w:p>
        </w:tc>
        <w:tc>
          <w:tcPr>
            <w:tcW w:w="1134" w:type="dxa"/>
            <w:vAlign w:val="center"/>
          </w:tcPr>
          <w:p w14:paraId="11A5AD54" w14:textId="77777777" w:rsidR="00171EFA" w:rsidRPr="002B722C" w:rsidRDefault="00171EFA" w:rsidP="00383406">
            <w:pPr>
              <w:jc w:val="center"/>
              <w:rPr>
                <w:sz w:val="19"/>
                <w:szCs w:val="19"/>
              </w:rPr>
            </w:pPr>
            <w:r w:rsidRPr="002B722C">
              <w:rPr>
                <w:sz w:val="19"/>
                <w:szCs w:val="19"/>
              </w:rPr>
              <w:t>2</w:t>
            </w:r>
          </w:p>
        </w:tc>
        <w:tc>
          <w:tcPr>
            <w:tcW w:w="1275" w:type="dxa"/>
            <w:vAlign w:val="center"/>
          </w:tcPr>
          <w:p w14:paraId="1BF72850" w14:textId="77777777" w:rsidR="00171EFA" w:rsidRPr="002B722C" w:rsidRDefault="00171EFA" w:rsidP="00383406">
            <w:pPr>
              <w:jc w:val="center"/>
              <w:rPr>
                <w:sz w:val="19"/>
                <w:szCs w:val="19"/>
              </w:rPr>
            </w:pPr>
            <w:r w:rsidRPr="002B722C">
              <w:rPr>
                <w:sz w:val="19"/>
                <w:szCs w:val="19"/>
              </w:rPr>
              <w:t>NR</w:t>
            </w:r>
          </w:p>
        </w:tc>
        <w:tc>
          <w:tcPr>
            <w:tcW w:w="3119" w:type="dxa"/>
            <w:vAlign w:val="center"/>
          </w:tcPr>
          <w:p w14:paraId="73D252C3" w14:textId="77777777" w:rsidR="00171EFA" w:rsidRPr="002B722C" w:rsidRDefault="00171EFA" w:rsidP="00383406">
            <w:pPr>
              <w:rPr>
                <w:sz w:val="19"/>
                <w:szCs w:val="19"/>
              </w:rPr>
            </w:pPr>
            <w:r>
              <w:rPr>
                <w:sz w:val="19"/>
                <w:szCs w:val="19"/>
              </w:rPr>
              <w:t>Pneumonia less (14% vs 33%), lobar atelectasis less (16% vs 31%)</w:t>
            </w:r>
          </w:p>
        </w:tc>
      </w:tr>
    </w:tbl>
    <w:p w14:paraId="5E78DB7A" w14:textId="04E385D0" w:rsidR="00171EFA" w:rsidRDefault="00171EFA"/>
    <w:p w14:paraId="27913BCE" w14:textId="14E3E3BD" w:rsidR="00B11016" w:rsidRDefault="00B11016">
      <w:r>
        <w:t xml:space="preserve">Unfortunately, seven of the sixteen studies that Goldhill et al (2007) analysed did not include details on the degree of rotation. However, it quickly becomes obvious of the significant reduction in VAP when using rotational therapy as reported in 7 of the studies. </w:t>
      </w:r>
      <w:r w:rsidR="00383406">
        <w:t>Atelectasis, the collapse or closure of a lung which results in reduced gaseous exchange, was also mentioned in four of the studies with significant reductions compared to the control.</w:t>
      </w:r>
      <w:r w:rsidR="00EB0D3C">
        <w:t xml:space="preserve"> Other clinical benefits where reduction in infections have been shown in studies include: Sepsis, urinary tract, chronic obtrusive airways, respiratory tract infections. Reduced length of stay in the ICU was also reported in a small number of studies (Goldhill et al, 2007).</w:t>
      </w:r>
    </w:p>
    <w:p w14:paraId="23F9D7C6" w14:textId="4B275081" w:rsidR="00383406" w:rsidRDefault="00383406">
      <w:r>
        <w:t xml:space="preserve">Although not all of the studies mentioned the degree of rotation of </w:t>
      </w:r>
      <w:r w:rsidR="00762245">
        <w:t>turn, out of the nine studies, 4 would be classed as kinetic therapy (</w:t>
      </w:r>
      <w:r w:rsidR="00EB0D3C">
        <w:t>≤</w:t>
      </w:r>
      <w:r w:rsidR="00762245">
        <w:t xml:space="preserve">40°) as opposed to CLRT (&gt;40°). </w:t>
      </w:r>
    </w:p>
    <w:p w14:paraId="34AF590E" w14:textId="52AD2946" w:rsidR="00686C84" w:rsidRDefault="00EB0D3C" w:rsidP="00ED23DE">
      <w:r>
        <w:t xml:space="preserve">As concluded by Anderson and </w:t>
      </w:r>
      <w:proofErr w:type="spellStart"/>
      <w:r>
        <w:t>Rappl</w:t>
      </w:r>
      <w:proofErr w:type="spellEnd"/>
      <w:r>
        <w:t xml:space="preserve"> (2004), the optimal degree and frequency of rotation have not been determined by their review and study. Many studies reinforce this, where although 30° is </w:t>
      </w:r>
      <w:r>
        <w:lastRenderedPageBreak/>
        <w:t xml:space="preserve">generally accepted </w:t>
      </w:r>
      <w:r w:rsidR="00DB3FFB">
        <w:t xml:space="preserve">for pressure relief </w:t>
      </w:r>
      <w:r>
        <w:t>there is not a study that shows what degree gives the best care</w:t>
      </w:r>
      <w:r w:rsidR="00DB3FFB">
        <w:t xml:space="preserve"> for helping to prevent VAP etc</w:t>
      </w:r>
      <w:r>
        <w:t>.</w:t>
      </w:r>
      <w:r w:rsidR="001D0177">
        <w:t xml:space="preserve"> Ahrens et </w:t>
      </w:r>
      <w:proofErr w:type="gramStart"/>
      <w:r w:rsidR="001D0177">
        <w:t>al  state</w:t>
      </w:r>
      <w:proofErr w:type="gramEnd"/>
      <w:r w:rsidR="001D0177">
        <w:t xml:space="preserve"> “Research has been inadequate in evaluating frequency of turning, angle of turn, and duration of turn.” (2004)</w:t>
      </w:r>
    </w:p>
    <w:p w14:paraId="035354B6" w14:textId="0E02C7B7" w:rsidR="0065242D" w:rsidRDefault="0065242D" w:rsidP="0065242D">
      <w:pPr>
        <w:pStyle w:val="Heading2"/>
      </w:pPr>
      <w:bookmarkStart w:id="5" w:name="_Toc14174499"/>
      <w:r>
        <w:t>2.3. Risks with CLRT</w:t>
      </w:r>
      <w:bookmarkEnd w:id="5"/>
    </w:p>
    <w:p w14:paraId="61FBBABE" w14:textId="77777777" w:rsidR="0065242D" w:rsidRDefault="0065242D" w:rsidP="0065242D">
      <w:r>
        <w:t>As with many medical devices there are contraindications involved with CLRT, any immobile patients with spinal cord injury, agitated patients and patients not receiving mechanical ventilation were unsuitable because of their inability to tolerate aggressive rotational therapy.</w:t>
      </w:r>
    </w:p>
    <w:p w14:paraId="491C0CFD" w14:textId="4F254504" w:rsidR="0065242D" w:rsidRDefault="0065242D" w:rsidP="0065242D">
      <w:r>
        <w:t xml:space="preserve">Due to the degree of the rotation, some patients who are awake find it difficult to tolerate CLRT, particularly at the higher degrees of rotation. Goldhill et al (2007) suggests that tolerance may be improved by administering a scopolamine patch, providing both antiemetic and sedative effects; but, in general, acute lateral rotation may be best suited to unconscious or sedated patients. </w:t>
      </w:r>
    </w:p>
    <w:p w14:paraId="0B48E707" w14:textId="634DC39E" w:rsidR="001D0177" w:rsidRDefault="001D0177" w:rsidP="001D0177">
      <w:r>
        <w:t>However, there can be a general</w:t>
      </w:r>
      <w:r w:rsidRPr="000429DC">
        <w:t xml:space="preserve"> reluctance </w:t>
      </w:r>
      <w:r>
        <w:t>with</w:t>
      </w:r>
      <w:r w:rsidRPr="000429DC">
        <w:t xml:space="preserve"> clinicians to sedate patients for kinetic therapy and the inability of some of the </w:t>
      </w:r>
      <w:proofErr w:type="spellStart"/>
      <w:r w:rsidRPr="000429DC">
        <w:t>unsedated</w:t>
      </w:r>
      <w:proofErr w:type="spellEnd"/>
      <w:r w:rsidRPr="000429DC">
        <w:t xml:space="preserve"> patients to tolerate kinetic therapy </w:t>
      </w:r>
      <w:r>
        <w:t>did</w:t>
      </w:r>
      <w:r w:rsidRPr="000429DC">
        <w:t xml:space="preserve"> limit the study findings</w:t>
      </w:r>
      <w:r>
        <w:t xml:space="preserve"> of Ahrens et al (2004)</w:t>
      </w:r>
      <w:r w:rsidRPr="000429DC">
        <w:t xml:space="preserve">. </w:t>
      </w:r>
      <w:r>
        <w:t>In fact, p</w:t>
      </w:r>
      <w:r w:rsidRPr="000429DC">
        <w:t xml:space="preserve">atients randomized to the kinetic therapy group </w:t>
      </w:r>
      <w:r>
        <w:t xml:space="preserve">within their study, </w:t>
      </w:r>
      <w:r w:rsidRPr="000429DC">
        <w:t>who, because of anxiety or physiological changes, could not tolerate the rotation during the first 24 hours were given an additional 24 hours to establish a tolerance</w:t>
      </w:r>
      <w:r>
        <w:t>. This was done</w:t>
      </w:r>
      <w:r w:rsidRPr="000429DC">
        <w:t xml:space="preserve"> by using the bed’s acclimation mode</w:t>
      </w:r>
      <w:r>
        <w:t xml:space="preserve"> (Ahrens et al, 2004).</w:t>
      </w:r>
    </w:p>
    <w:p w14:paraId="189BAA4F" w14:textId="60F61FCF" w:rsidR="001D0177" w:rsidRDefault="001D0177" w:rsidP="001D0177">
      <w:r w:rsidRPr="000429DC">
        <w:t>Ideally, neurologically depressed patients or patients sedated specifically for kinetic therapy should be considered for this type of treatment.</w:t>
      </w:r>
    </w:p>
    <w:p w14:paraId="226D3887" w14:textId="5525A8ED" w:rsidR="001D0177" w:rsidRDefault="001D0177" w:rsidP="001D0177">
      <w:r>
        <w:t xml:space="preserve">Supposed complications associated with rotational therapy also include disconnection of intravascular catheters and adverse effect of intracranial pressure and arrhythmias (Goldhill et al, 2007). </w:t>
      </w:r>
      <w:r w:rsidR="00A42436">
        <w:t>Nevertheless</w:t>
      </w:r>
      <w:r>
        <w:t>, Gonzalez-Arias et al (1983) did find that in a study of 10 patients with head injuries, rotational therapy did not have any significant effects on intracranial pressure.</w:t>
      </w:r>
    </w:p>
    <w:p w14:paraId="75EAAE63" w14:textId="54C12AEB" w:rsidR="00441885" w:rsidRDefault="00441885" w:rsidP="0065242D">
      <w:r>
        <w:br w:type="page"/>
      </w:r>
    </w:p>
    <w:p w14:paraId="02FFF4B7" w14:textId="47EE0B73" w:rsidR="00686C84" w:rsidRDefault="00686C84" w:rsidP="00686C84">
      <w:pPr>
        <w:pStyle w:val="Heading1"/>
      </w:pPr>
      <w:bookmarkStart w:id="6" w:name="_Toc14174500"/>
      <w:r>
        <w:lastRenderedPageBreak/>
        <w:t>3. CONTINUOUS LATERAL ROTATIONAL THERAPY: A synergy to anti-decubitus devices</w:t>
      </w:r>
      <w:bookmarkEnd w:id="6"/>
    </w:p>
    <w:p w14:paraId="729C3FC1" w14:textId="77777777" w:rsidR="000704F7" w:rsidRDefault="000704F7" w:rsidP="00686C84">
      <w:pPr>
        <w:pStyle w:val="Heading2"/>
      </w:pPr>
    </w:p>
    <w:p w14:paraId="2B824E93" w14:textId="73CF4BCF" w:rsidR="00686C84" w:rsidRDefault="00686C84" w:rsidP="00686C84">
      <w:pPr>
        <w:pStyle w:val="Heading2"/>
      </w:pPr>
      <w:bookmarkStart w:id="7" w:name="_Toc14174501"/>
      <w:r>
        <w:t>3.1. Reducing pressure ulcers using CLRT</w:t>
      </w:r>
      <w:bookmarkEnd w:id="7"/>
    </w:p>
    <w:p w14:paraId="56315170" w14:textId="61CD9518" w:rsidR="00686C84" w:rsidRDefault="00810A95" w:rsidP="00ED23DE">
      <w:r>
        <w:t>According to Anderson et al (2016), h</w:t>
      </w:r>
      <w:r w:rsidRPr="00810A95">
        <w:t>ospital acquired pressure ulcers have a 4.77% incidence rate in critical care units while VAP has a reported incidence of 10–20% of all ventilated ICU patients and a mortality rat</w:t>
      </w:r>
      <w:r>
        <w:t>e</w:t>
      </w:r>
      <w:r w:rsidRPr="00810A95">
        <w:t xml:space="preserve"> as high as 50–70%.</w:t>
      </w:r>
    </w:p>
    <w:p w14:paraId="054FA796" w14:textId="7369D5B1" w:rsidR="00613902" w:rsidRDefault="00647EB5" w:rsidP="00613902">
      <w:r>
        <w:t>CLRT has been cited as a method to reduce incidence of both Hospital Acquired Pressure Ulcers and Ventilator Associated Pneumonia in hospitalized patients</w:t>
      </w:r>
      <w:r w:rsidR="00613902">
        <w:t xml:space="preserve">. In fact, in Goldhill et </w:t>
      </w:r>
      <w:proofErr w:type="spellStart"/>
      <w:r w:rsidR="00613902">
        <w:t>al’s</w:t>
      </w:r>
      <w:proofErr w:type="spellEnd"/>
      <w:r w:rsidR="00613902">
        <w:t xml:space="preserve"> (2007) conclusion, they state: </w:t>
      </w:r>
      <w:bookmarkStart w:id="8" w:name="_Hlk13827860"/>
      <w:r w:rsidR="00613902">
        <w:t xml:space="preserve">“The beds considered in this review have other uses apart from the prevention and treatment of respiratory complications, </w:t>
      </w:r>
      <w:r w:rsidR="00613902" w:rsidRPr="002C4346">
        <w:rPr>
          <w:i/>
          <w:iCs/>
        </w:rPr>
        <w:t>such as maintenance of skin integrity</w:t>
      </w:r>
      <w:r w:rsidR="00613902">
        <w:t xml:space="preserve"> and mobilization </w:t>
      </w:r>
      <w:r w:rsidR="002C4346">
        <w:t>o</w:t>
      </w:r>
      <w:r w:rsidR="00613902">
        <w:t>f secretions. These other uses must be considered when deciding whether to place a compromised patient on a therapeutic bed.”</w:t>
      </w:r>
    </w:p>
    <w:p w14:paraId="3E37DD17" w14:textId="77777777" w:rsidR="000704F7" w:rsidRDefault="000704F7" w:rsidP="00613902"/>
    <w:bookmarkEnd w:id="8"/>
    <w:p w14:paraId="291655F7" w14:textId="7E0E4A44" w:rsidR="00932988" w:rsidRDefault="00932988" w:rsidP="00932988">
      <w:r>
        <w:t xml:space="preserve">Anderson and </w:t>
      </w:r>
      <w:proofErr w:type="spellStart"/>
      <w:r>
        <w:t>Rappl</w:t>
      </w:r>
      <w:proofErr w:type="spellEnd"/>
      <w:r>
        <w:t xml:space="preserve"> (2004) illustrated the potential healing effects on established pressure ulcers that CLRT may provide. Their study used a population which consisted of patients with a partial-thickness (Stage II) or full-thickness pressure ulcer (Stage III or IV) on the trunk of pelvis. Patients received the use of a powered support surface that included the CLRT modality (</w:t>
      </w:r>
      <w:proofErr w:type="spellStart"/>
      <w:r>
        <w:t>PressureGuard</w:t>
      </w:r>
      <w:proofErr w:type="spellEnd"/>
      <w:r>
        <w:t xml:space="preserve"> APM, Span-America), the mattress turned the patient in a 40-degree arc, 20 degrees to each side. </w:t>
      </w:r>
    </w:p>
    <w:p w14:paraId="505114C5" w14:textId="7733B75E" w:rsidR="00932988" w:rsidRDefault="00932988" w:rsidP="00932988">
      <w:r>
        <w:t xml:space="preserve">The results from their study were positive, 60% of the partial thickness wounds and 55% of the full thickness wounds closed in 12 weeks. Despite the small number of subjects in this study, according to Anderson and </w:t>
      </w:r>
      <w:proofErr w:type="spellStart"/>
      <w:r>
        <w:t>Rappl</w:t>
      </w:r>
      <w:proofErr w:type="spellEnd"/>
      <w:r>
        <w:t xml:space="preserve"> (2004) these results are similar to, or slightly better than, those recently reported by Bolton and McNees (2003) who found 61% of the patients with superficial or partial-thickness ulcers and 36% of full thickness ulcers healed in 12 weeks.</w:t>
      </w:r>
    </w:p>
    <w:p w14:paraId="160E8E82" w14:textId="06315FE7" w:rsidR="00E10630" w:rsidRDefault="00E10630" w:rsidP="00932988">
      <w:r>
        <w:t xml:space="preserve">Although Anderson and </w:t>
      </w:r>
      <w:proofErr w:type="spellStart"/>
      <w:r>
        <w:t>Rappl</w:t>
      </w:r>
      <w:proofErr w:type="spellEnd"/>
      <w:r>
        <w:t xml:space="preserve"> (2004) are often cited for the</w:t>
      </w:r>
      <w:r w:rsidR="00B36060">
        <w:t xml:space="preserve"> reduction of pressure ulcers using CLRT, their study did not determine the optimal degree and frequency of rotation. </w:t>
      </w:r>
    </w:p>
    <w:p w14:paraId="2F38C6E9" w14:textId="77777777" w:rsidR="000704F7" w:rsidRDefault="000704F7" w:rsidP="00932988"/>
    <w:p w14:paraId="155E0432" w14:textId="75729013" w:rsidR="00927566" w:rsidRDefault="00927566" w:rsidP="00932988">
      <w:r>
        <w:t xml:space="preserve">Moore &amp; Cowman (2012) proved, in their randomised trial, that a 30° repositioning tilt helps maintain a level of perfusion over the weight-bearing areas. The control group were laterally rotated every six hours at 90° whereas the trial group were rotated at 30° every three hours. </w:t>
      </w:r>
      <w:r w:rsidR="0033032B">
        <w:t xml:space="preserve">The incidence of pressure ulcers </w:t>
      </w:r>
      <w:r w:rsidR="00827932">
        <w:t>was</w:t>
      </w:r>
      <w:r w:rsidR="0033032B">
        <w:t xml:space="preserve"> 11% and 3% respectively, however it is important to stress this was manual repositioning using pillows and static wedges.</w:t>
      </w:r>
      <w:r w:rsidR="00F61347">
        <w:t xml:space="preserve"> 90° lateral tilt position has been reported to increasing the interface pressure over the greater trochanter – the bony prominence situated on the proximolateral side of the femur (</w:t>
      </w:r>
      <w:proofErr w:type="spellStart"/>
      <w:r w:rsidR="00F61347">
        <w:t>Uttarachon</w:t>
      </w:r>
      <w:proofErr w:type="spellEnd"/>
      <w:r w:rsidR="00F61347">
        <w:t xml:space="preserve"> et al, 2019).</w:t>
      </w:r>
    </w:p>
    <w:p w14:paraId="470E13C0" w14:textId="77777777" w:rsidR="000704F7" w:rsidRDefault="000704F7" w:rsidP="00932988"/>
    <w:p w14:paraId="1A6757C6" w14:textId="6FC34D38" w:rsidR="00F61347" w:rsidRDefault="00827932" w:rsidP="00932988">
      <w:pPr>
        <w:rPr>
          <w:rFonts w:cs="Arial"/>
        </w:rPr>
      </w:pPr>
      <w:proofErr w:type="spellStart"/>
      <w:r>
        <w:t>Uttarachon</w:t>
      </w:r>
      <w:proofErr w:type="spellEnd"/>
      <w:r>
        <w:t xml:space="preserve"> et al, (2019) performed a study on a prototype mattress turning device that used inflatable bladders to laterally rotate the </w:t>
      </w:r>
      <w:r w:rsidRPr="00827932">
        <w:t>patient to 30</w:t>
      </w:r>
      <w:r w:rsidRPr="00827932">
        <w:rPr>
          <w:rFonts w:cs="Arial"/>
        </w:rPr>
        <w:t>°</w:t>
      </w:r>
      <w:r w:rsidR="0085306D">
        <w:rPr>
          <w:rFonts w:cs="Arial"/>
        </w:rPr>
        <w:t xml:space="preserve">. </w:t>
      </w:r>
      <w:r w:rsidR="00F61347">
        <w:rPr>
          <w:rFonts w:cs="Arial"/>
        </w:rPr>
        <w:t xml:space="preserve">They found that the peak pressure over the </w:t>
      </w:r>
      <w:r w:rsidR="00F61347">
        <w:rPr>
          <w:rFonts w:cs="Arial"/>
        </w:rPr>
        <w:lastRenderedPageBreak/>
        <w:t>bony prominences was reduced significantly over the occiput and sacrococcygeal areas but increased over the scapula and trochanter as shown in the following table:</w:t>
      </w:r>
    </w:p>
    <w:tbl>
      <w:tblPr>
        <w:tblStyle w:val="TableGrid"/>
        <w:tblW w:w="0" w:type="auto"/>
        <w:tblLook w:val="04A0" w:firstRow="1" w:lastRow="0" w:firstColumn="1" w:lastColumn="0" w:noHBand="0" w:noVBand="1"/>
      </w:tblPr>
      <w:tblGrid>
        <w:gridCol w:w="2055"/>
        <w:gridCol w:w="1489"/>
        <w:gridCol w:w="1701"/>
      </w:tblGrid>
      <w:tr w:rsidR="00F61347" w:rsidRPr="002D0796" w14:paraId="61DD1EDF" w14:textId="77777777" w:rsidTr="00F61347">
        <w:trPr>
          <w:trHeight w:val="274"/>
        </w:trPr>
        <w:tc>
          <w:tcPr>
            <w:tcW w:w="2055" w:type="dxa"/>
            <w:tcBorders>
              <w:top w:val="nil"/>
              <w:left w:val="nil"/>
              <w:bottom w:val="nil"/>
            </w:tcBorders>
          </w:tcPr>
          <w:p w14:paraId="537B6AE8" w14:textId="77777777" w:rsidR="00F61347" w:rsidRPr="002D0796" w:rsidRDefault="00F61347" w:rsidP="00343A1D">
            <w:pPr>
              <w:rPr>
                <w:sz w:val="20"/>
                <w:szCs w:val="20"/>
              </w:rPr>
            </w:pPr>
          </w:p>
        </w:tc>
        <w:tc>
          <w:tcPr>
            <w:tcW w:w="3190" w:type="dxa"/>
            <w:gridSpan w:val="2"/>
          </w:tcPr>
          <w:p w14:paraId="4D58C728" w14:textId="58BBDC9B" w:rsidR="00F61347" w:rsidRPr="00F61347" w:rsidRDefault="00F61347" w:rsidP="00F61347">
            <w:pPr>
              <w:jc w:val="center"/>
              <w:rPr>
                <w:b/>
                <w:bCs/>
                <w:sz w:val="18"/>
                <w:szCs w:val="18"/>
              </w:rPr>
            </w:pPr>
            <w:r w:rsidRPr="00F61347">
              <w:rPr>
                <w:b/>
                <w:bCs/>
                <w:sz w:val="18"/>
                <w:szCs w:val="18"/>
              </w:rPr>
              <w:t>Peak Pressures (mmHg)</w:t>
            </w:r>
          </w:p>
        </w:tc>
      </w:tr>
      <w:tr w:rsidR="00F61347" w:rsidRPr="002D0796" w14:paraId="0A330AB8" w14:textId="77777777" w:rsidTr="00F61347">
        <w:trPr>
          <w:trHeight w:val="274"/>
        </w:trPr>
        <w:tc>
          <w:tcPr>
            <w:tcW w:w="2055" w:type="dxa"/>
            <w:tcBorders>
              <w:top w:val="nil"/>
              <w:left w:val="nil"/>
            </w:tcBorders>
          </w:tcPr>
          <w:p w14:paraId="634D9DD0" w14:textId="77777777" w:rsidR="00F61347" w:rsidRPr="002D0796" w:rsidRDefault="00F61347" w:rsidP="00343A1D">
            <w:pPr>
              <w:rPr>
                <w:sz w:val="20"/>
                <w:szCs w:val="20"/>
              </w:rPr>
            </w:pPr>
          </w:p>
        </w:tc>
        <w:tc>
          <w:tcPr>
            <w:tcW w:w="1489" w:type="dxa"/>
          </w:tcPr>
          <w:p w14:paraId="33AC2DF3" w14:textId="20EF69A8" w:rsidR="00F61347" w:rsidRPr="00F61347" w:rsidRDefault="00F61347" w:rsidP="00F61347">
            <w:pPr>
              <w:jc w:val="center"/>
              <w:rPr>
                <w:i/>
                <w:iCs/>
                <w:sz w:val="18"/>
                <w:szCs w:val="18"/>
              </w:rPr>
            </w:pPr>
            <w:r w:rsidRPr="00F61347">
              <w:rPr>
                <w:i/>
                <w:iCs/>
                <w:sz w:val="18"/>
                <w:szCs w:val="18"/>
              </w:rPr>
              <w:t>Supine</w:t>
            </w:r>
          </w:p>
        </w:tc>
        <w:tc>
          <w:tcPr>
            <w:tcW w:w="1701" w:type="dxa"/>
          </w:tcPr>
          <w:p w14:paraId="6F6B80A4" w14:textId="51009E03" w:rsidR="00F61347" w:rsidRPr="00F61347" w:rsidRDefault="00F61347" w:rsidP="00F61347">
            <w:pPr>
              <w:jc w:val="center"/>
              <w:rPr>
                <w:i/>
                <w:iCs/>
                <w:sz w:val="18"/>
                <w:szCs w:val="18"/>
              </w:rPr>
            </w:pPr>
            <w:r w:rsidRPr="00F61347">
              <w:rPr>
                <w:i/>
                <w:iCs/>
                <w:sz w:val="18"/>
                <w:szCs w:val="18"/>
              </w:rPr>
              <w:t>Lateral Tilt</w:t>
            </w:r>
          </w:p>
        </w:tc>
      </w:tr>
      <w:tr w:rsidR="00F61347" w:rsidRPr="002D0796" w14:paraId="38C597E5" w14:textId="77777777" w:rsidTr="00F61347">
        <w:trPr>
          <w:trHeight w:val="274"/>
        </w:trPr>
        <w:tc>
          <w:tcPr>
            <w:tcW w:w="2055" w:type="dxa"/>
            <w:tcBorders>
              <w:top w:val="single" w:sz="4" w:space="0" w:color="auto"/>
            </w:tcBorders>
          </w:tcPr>
          <w:p w14:paraId="59DE70C1" w14:textId="77777777" w:rsidR="00F61347" w:rsidRPr="002D0796" w:rsidRDefault="00F61347" w:rsidP="00343A1D">
            <w:pPr>
              <w:rPr>
                <w:sz w:val="20"/>
                <w:szCs w:val="20"/>
              </w:rPr>
            </w:pPr>
            <w:r w:rsidRPr="002D0796">
              <w:rPr>
                <w:sz w:val="20"/>
                <w:szCs w:val="20"/>
              </w:rPr>
              <w:t>Occiput</w:t>
            </w:r>
          </w:p>
        </w:tc>
        <w:tc>
          <w:tcPr>
            <w:tcW w:w="1489" w:type="dxa"/>
          </w:tcPr>
          <w:p w14:paraId="45987F3E" w14:textId="77777777" w:rsidR="00F61347" w:rsidRPr="002D0796" w:rsidRDefault="00F61347" w:rsidP="00F61347">
            <w:pPr>
              <w:jc w:val="center"/>
              <w:rPr>
                <w:sz w:val="18"/>
                <w:szCs w:val="18"/>
              </w:rPr>
            </w:pPr>
            <w:r w:rsidRPr="002D0796">
              <w:rPr>
                <w:sz w:val="18"/>
                <w:szCs w:val="18"/>
              </w:rPr>
              <w:t>30.75</w:t>
            </w:r>
          </w:p>
        </w:tc>
        <w:tc>
          <w:tcPr>
            <w:tcW w:w="1701" w:type="dxa"/>
          </w:tcPr>
          <w:p w14:paraId="06565348" w14:textId="77777777" w:rsidR="00F61347" w:rsidRPr="002D0796" w:rsidRDefault="00F61347" w:rsidP="00F61347">
            <w:pPr>
              <w:jc w:val="center"/>
              <w:rPr>
                <w:sz w:val="18"/>
                <w:szCs w:val="18"/>
              </w:rPr>
            </w:pPr>
            <w:r w:rsidRPr="002D0796">
              <w:rPr>
                <w:sz w:val="18"/>
                <w:szCs w:val="18"/>
              </w:rPr>
              <w:t>27.26</w:t>
            </w:r>
          </w:p>
        </w:tc>
      </w:tr>
      <w:tr w:rsidR="00F61347" w:rsidRPr="002D0796" w14:paraId="056FE8F7" w14:textId="77777777" w:rsidTr="00F61347">
        <w:trPr>
          <w:trHeight w:val="279"/>
        </w:trPr>
        <w:tc>
          <w:tcPr>
            <w:tcW w:w="2055" w:type="dxa"/>
          </w:tcPr>
          <w:p w14:paraId="0F610283" w14:textId="77777777" w:rsidR="00F61347" w:rsidRPr="002D0796" w:rsidRDefault="00F61347" w:rsidP="00343A1D">
            <w:pPr>
              <w:rPr>
                <w:sz w:val="20"/>
                <w:szCs w:val="20"/>
              </w:rPr>
            </w:pPr>
            <w:r w:rsidRPr="002D0796">
              <w:rPr>
                <w:sz w:val="20"/>
                <w:szCs w:val="20"/>
              </w:rPr>
              <w:t>Spine of scapula</w:t>
            </w:r>
          </w:p>
        </w:tc>
        <w:tc>
          <w:tcPr>
            <w:tcW w:w="1489" w:type="dxa"/>
          </w:tcPr>
          <w:p w14:paraId="17AA18A9" w14:textId="77777777" w:rsidR="00F61347" w:rsidRPr="002D0796" w:rsidRDefault="00F61347" w:rsidP="00F61347">
            <w:pPr>
              <w:jc w:val="center"/>
              <w:rPr>
                <w:sz w:val="18"/>
                <w:szCs w:val="18"/>
              </w:rPr>
            </w:pPr>
            <w:r w:rsidRPr="002D0796">
              <w:rPr>
                <w:sz w:val="18"/>
                <w:szCs w:val="18"/>
              </w:rPr>
              <w:t>27.05</w:t>
            </w:r>
          </w:p>
        </w:tc>
        <w:tc>
          <w:tcPr>
            <w:tcW w:w="1701" w:type="dxa"/>
          </w:tcPr>
          <w:p w14:paraId="2D5DE03A" w14:textId="5A0CF80F" w:rsidR="00F61347" w:rsidRPr="002D0796" w:rsidRDefault="00F61347" w:rsidP="00F61347">
            <w:pPr>
              <w:jc w:val="center"/>
              <w:rPr>
                <w:sz w:val="18"/>
                <w:szCs w:val="18"/>
              </w:rPr>
            </w:pPr>
            <w:r w:rsidRPr="002D0796">
              <w:rPr>
                <w:sz w:val="18"/>
                <w:szCs w:val="18"/>
              </w:rPr>
              <w:t>29.93</w:t>
            </w:r>
          </w:p>
        </w:tc>
      </w:tr>
      <w:tr w:rsidR="00F61347" w:rsidRPr="002D0796" w14:paraId="1580F654" w14:textId="77777777" w:rsidTr="00F61347">
        <w:trPr>
          <w:trHeight w:val="235"/>
        </w:trPr>
        <w:tc>
          <w:tcPr>
            <w:tcW w:w="2055" w:type="dxa"/>
          </w:tcPr>
          <w:p w14:paraId="314901AE" w14:textId="77777777" w:rsidR="00F61347" w:rsidRPr="002D0796" w:rsidRDefault="00F61347" w:rsidP="00343A1D">
            <w:pPr>
              <w:rPr>
                <w:sz w:val="20"/>
                <w:szCs w:val="20"/>
              </w:rPr>
            </w:pPr>
            <w:proofErr w:type="spellStart"/>
            <w:r w:rsidRPr="002D0796">
              <w:rPr>
                <w:sz w:val="20"/>
                <w:szCs w:val="20"/>
              </w:rPr>
              <w:t>Sacrococcyx</w:t>
            </w:r>
            <w:proofErr w:type="spellEnd"/>
          </w:p>
        </w:tc>
        <w:tc>
          <w:tcPr>
            <w:tcW w:w="1489" w:type="dxa"/>
          </w:tcPr>
          <w:p w14:paraId="58D241A8" w14:textId="77777777" w:rsidR="00F61347" w:rsidRPr="002D0796" w:rsidRDefault="00F61347" w:rsidP="00F61347">
            <w:pPr>
              <w:jc w:val="center"/>
              <w:rPr>
                <w:sz w:val="18"/>
                <w:szCs w:val="18"/>
              </w:rPr>
            </w:pPr>
            <w:r w:rsidRPr="002D0796">
              <w:rPr>
                <w:sz w:val="18"/>
                <w:szCs w:val="18"/>
              </w:rPr>
              <w:t>35.99</w:t>
            </w:r>
          </w:p>
        </w:tc>
        <w:tc>
          <w:tcPr>
            <w:tcW w:w="1701" w:type="dxa"/>
          </w:tcPr>
          <w:p w14:paraId="152DB4E2" w14:textId="77777777" w:rsidR="00F61347" w:rsidRPr="002D0796" w:rsidRDefault="00F61347" w:rsidP="00F61347">
            <w:pPr>
              <w:jc w:val="center"/>
              <w:rPr>
                <w:sz w:val="18"/>
                <w:szCs w:val="18"/>
              </w:rPr>
            </w:pPr>
            <w:r w:rsidRPr="002D0796">
              <w:rPr>
                <w:sz w:val="18"/>
                <w:szCs w:val="18"/>
              </w:rPr>
              <w:t>27.26</w:t>
            </w:r>
          </w:p>
        </w:tc>
      </w:tr>
      <w:tr w:rsidR="00F61347" w:rsidRPr="002D0796" w14:paraId="3033C238" w14:textId="77777777" w:rsidTr="00F61347">
        <w:trPr>
          <w:trHeight w:val="289"/>
        </w:trPr>
        <w:tc>
          <w:tcPr>
            <w:tcW w:w="2055" w:type="dxa"/>
          </w:tcPr>
          <w:p w14:paraId="0F76BF26" w14:textId="77777777" w:rsidR="00F61347" w:rsidRPr="002D0796" w:rsidRDefault="00F61347" w:rsidP="00343A1D">
            <w:pPr>
              <w:rPr>
                <w:sz w:val="20"/>
                <w:szCs w:val="20"/>
              </w:rPr>
            </w:pPr>
            <w:r w:rsidRPr="002D0796">
              <w:rPr>
                <w:sz w:val="20"/>
                <w:szCs w:val="20"/>
              </w:rPr>
              <w:t>Greater trochanter</w:t>
            </w:r>
          </w:p>
        </w:tc>
        <w:tc>
          <w:tcPr>
            <w:tcW w:w="1489" w:type="dxa"/>
          </w:tcPr>
          <w:p w14:paraId="598FC4FB" w14:textId="77777777" w:rsidR="00F61347" w:rsidRPr="002D0796" w:rsidRDefault="00F61347" w:rsidP="00F61347">
            <w:pPr>
              <w:jc w:val="center"/>
              <w:rPr>
                <w:sz w:val="18"/>
                <w:szCs w:val="18"/>
              </w:rPr>
            </w:pPr>
            <w:r w:rsidRPr="002D0796">
              <w:rPr>
                <w:sz w:val="18"/>
                <w:szCs w:val="18"/>
              </w:rPr>
              <w:t>0</w:t>
            </w:r>
          </w:p>
        </w:tc>
        <w:tc>
          <w:tcPr>
            <w:tcW w:w="1701" w:type="dxa"/>
          </w:tcPr>
          <w:p w14:paraId="7B84C984" w14:textId="77777777" w:rsidR="00F61347" w:rsidRPr="002D0796" w:rsidRDefault="00F61347" w:rsidP="00F61347">
            <w:pPr>
              <w:jc w:val="center"/>
              <w:rPr>
                <w:sz w:val="18"/>
                <w:szCs w:val="18"/>
              </w:rPr>
            </w:pPr>
            <w:r w:rsidRPr="002D0796">
              <w:rPr>
                <w:sz w:val="18"/>
                <w:szCs w:val="18"/>
              </w:rPr>
              <w:t>30.29</w:t>
            </w:r>
          </w:p>
        </w:tc>
      </w:tr>
    </w:tbl>
    <w:p w14:paraId="33A90595" w14:textId="66DACF4C" w:rsidR="001F6D30" w:rsidRPr="001F6D30" w:rsidRDefault="001F6D30" w:rsidP="00932988">
      <w:pPr>
        <w:rPr>
          <w:rFonts w:cs="Arial"/>
          <w:sz w:val="10"/>
          <w:szCs w:val="10"/>
        </w:rPr>
      </w:pPr>
    </w:p>
    <w:p w14:paraId="49E4C882" w14:textId="00756B7B" w:rsidR="00F61347" w:rsidRPr="001F6D30" w:rsidRDefault="001F6D30" w:rsidP="00932988">
      <w:pPr>
        <w:rPr>
          <w:rFonts w:cs="Arial"/>
        </w:rPr>
      </w:pPr>
      <w:r w:rsidRPr="001F6D30">
        <w:rPr>
          <w:rFonts w:cs="Arial"/>
        </w:rPr>
        <w:t xml:space="preserve">This increase in pressure on the greater trochanter was deemed acceptable by </w:t>
      </w:r>
      <w:proofErr w:type="spellStart"/>
      <w:r w:rsidRPr="001F6D30">
        <w:rPr>
          <w:rFonts w:cs="Arial"/>
        </w:rPr>
        <w:t>Uttrachon</w:t>
      </w:r>
      <w:proofErr w:type="spellEnd"/>
      <w:r w:rsidRPr="001F6D30">
        <w:rPr>
          <w:rFonts w:cs="Arial"/>
        </w:rPr>
        <w:t xml:space="preserve"> et al (2019), however this still bears a risk to the patient and would need further investigation.</w:t>
      </w:r>
    </w:p>
    <w:p w14:paraId="307DED5C" w14:textId="4825FB5B" w:rsidR="00686C84" w:rsidRDefault="00686C84" w:rsidP="00E63162">
      <w:pPr>
        <w:pStyle w:val="Heading2"/>
      </w:pPr>
      <w:bookmarkStart w:id="9" w:name="_Toc14174502"/>
      <w:r>
        <w:t xml:space="preserve">3.2. </w:t>
      </w:r>
      <w:r w:rsidR="00E63162" w:rsidRPr="00E63162">
        <w:t>Associated</w:t>
      </w:r>
      <w:r w:rsidR="00E63162">
        <w:t xml:space="preserve"> Risks With Pressure Reduction Using CLRT</w:t>
      </w:r>
      <w:bookmarkEnd w:id="9"/>
      <w:r w:rsidR="00E63162">
        <w:t xml:space="preserve"> </w:t>
      </w:r>
    </w:p>
    <w:p w14:paraId="379FCA28" w14:textId="2A482BFB" w:rsidR="008E0292" w:rsidRDefault="008E0292" w:rsidP="008E0292">
      <w:pPr>
        <w:pStyle w:val="Heading3"/>
      </w:pPr>
      <w:bookmarkStart w:id="10" w:name="_Toc14174503"/>
      <w:r>
        <w:t>3.2.1. Nursing Intervention</w:t>
      </w:r>
      <w:bookmarkEnd w:id="10"/>
    </w:p>
    <w:p w14:paraId="686C2091" w14:textId="49BECBDD" w:rsidR="00343A1D" w:rsidRDefault="00631516" w:rsidP="00343A1D">
      <w:r>
        <w:t>Even if a CLRT bed provides a pressure redistribution surface, CLRT may not provide protection from pressure ulcers unless specific interventions for prevention are also instituted. (Wanless &amp; Aldridge, 2011). Regardless of bed type, CLRT alone does not eliminate the need for manual repositioning of the patient (Nix, 2007), even if the CLRT is set for the maximum rotation the patient never breaks contact with the surface.</w:t>
      </w:r>
    </w:p>
    <w:p w14:paraId="6552B548" w14:textId="56B16928" w:rsidR="00631516" w:rsidRDefault="00631516" w:rsidP="00631516">
      <w:r>
        <w:t xml:space="preserve">Anderson and </w:t>
      </w:r>
      <w:proofErr w:type="spellStart"/>
      <w:r>
        <w:t>Rappl</w:t>
      </w:r>
      <w:proofErr w:type="spellEnd"/>
      <w:r>
        <w:t xml:space="preserve"> (2004), although advocates for CLRT, state that CLRT mattresses do not replace the need for manual position and that despite the fact CLRT mattresses “rotate” the patient, their joints, muscles, organs require regular position changes for stimulation, stretch and function. </w:t>
      </w:r>
    </w:p>
    <w:p w14:paraId="00BE84C0" w14:textId="28BB02EE" w:rsidR="00631516" w:rsidRDefault="00631516" w:rsidP="00343A1D">
      <w:r>
        <w:t xml:space="preserve">When manual repositioning, although being time consuming as stated by Moore &amp; Cowman (2012), it does mean that the nurses can check the patient’s skin during the procedure. Nurses cannot depend on a kinetic bed to reposition the patient, they still need to intervene and inspect the skin </w:t>
      </w:r>
      <w:r w:rsidR="008E0292">
        <w:t>frequently</w:t>
      </w:r>
      <w:r>
        <w:t xml:space="preserve"> for signs of injury</w:t>
      </w:r>
      <w:r w:rsidR="008E0292">
        <w:t>, especially over bony prominences</w:t>
      </w:r>
      <w:r>
        <w:t xml:space="preserve"> (Black, 2006</w:t>
      </w:r>
      <w:r w:rsidR="008E0292">
        <w:t xml:space="preserve">; Wanless &amp; Aldridge, 2011). </w:t>
      </w:r>
    </w:p>
    <w:p w14:paraId="7A7E3735" w14:textId="37FE322B" w:rsidR="00A20A13" w:rsidRDefault="008E0292" w:rsidP="00343A1D">
      <w:r>
        <w:t xml:space="preserve">Although </w:t>
      </w:r>
      <w:proofErr w:type="spellStart"/>
      <w:r>
        <w:t>Uttarachon</w:t>
      </w:r>
      <w:proofErr w:type="spellEnd"/>
      <w:r>
        <w:t xml:space="preserve"> et al (2019) hypothesis that low back pain in nurses will decrease with a turning mattress due to reducing the repositioning, they state that nurses “should be reminded that skin check is still necessary and should be done after every turn and repositioning especially in patients with physical impairments such as joint deformity as they will need additional manual repositioning”.</w:t>
      </w:r>
    </w:p>
    <w:p w14:paraId="2DD76760" w14:textId="77777777" w:rsidR="00080505" w:rsidRDefault="00080505" w:rsidP="00343A1D"/>
    <w:p w14:paraId="1F000C3E" w14:textId="6DE46C3F" w:rsidR="00343A1D" w:rsidRDefault="008E0292" w:rsidP="008E0292">
      <w:pPr>
        <w:pStyle w:val="Heading3"/>
      </w:pPr>
      <w:bookmarkStart w:id="11" w:name="_Toc14174504"/>
      <w:r>
        <w:t xml:space="preserve">3.2.2. </w:t>
      </w:r>
      <w:r w:rsidR="00A20A13">
        <w:t xml:space="preserve">Shear </w:t>
      </w:r>
      <w:r>
        <w:t>I</w:t>
      </w:r>
      <w:r w:rsidR="00A20A13">
        <w:t>njuries</w:t>
      </w:r>
      <w:bookmarkEnd w:id="11"/>
    </w:p>
    <w:p w14:paraId="2614A686" w14:textId="4785EC09" w:rsidR="008E0292" w:rsidRDefault="008E0292" w:rsidP="008E0292">
      <w:r>
        <w:t xml:space="preserve">Black (2006) shows in their case study that although the subject was rotated to a 30-degree angle, but a patient must be positioned at 40-degrees laterally to relieve pressure on the sacrum. Because the patient wasn’t turned that far when the bed moved their body, the skin over the sacrum pressed against the bed surface while his body moved, creating a shearing injury. </w:t>
      </w:r>
    </w:p>
    <w:p w14:paraId="01452718" w14:textId="5AD07835" w:rsidR="008E0292" w:rsidRDefault="008E0292" w:rsidP="008E0292">
      <w:r>
        <w:lastRenderedPageBreak/>
        <w:t>Shearing injury to the sacrum commonly occurs when patients who are sitting up in bed slide down because the head of the bed is elevated. Laterally tilting the bed or mattress can put the patient at risk of a similar situation where the body slides down causing a shearing injury.</w:t>
      </w:r>
    </w:p>
    <w:p w14:paraId="1D8EF84E" w14:textId="26122BF9" w:rsidR="00B9085A" w:rsidRDefault="00A42436" w:rsidP="00B9085A">
      <w:r>
        <w:t xml:space="preserve">Anderson and </w:t>
      </w:r>
      <w:proofErr w:type="spellStart"/>
      <w:r>
        <w:t>Rappl</w:t>
      </w:r>
      <w:proofErr w:type="spellEnd"/>
      <w:r>
        <w:t xml:space="preserve"> (2004) </w:t>
      </w:r>
      <w:r w:rsidR="00B9085A">
        <w:t xml:space="preserve">hypothesise how the average rate of wound closure of Stage II was lower than the rates of full thickness pressure wounds due to the fact that partial-thickness or Stage II wounds are often due to friction or maceration. Therefore, they are easily re-opened by trauma, such as shearing forces. So, although they may close rapidly, they can also re-open rapidly, and can re-open several times while a CLRT mattress is in place (Anderson &amp; </w:t>
      </w:r>
      <w:proofErr w:type="spellStart"/>
      <w:r w:rsidR="00B9085A">
        <w:t>Rappl</w:t>
      </w:r>
      <w:proofErr w:type="spellEnd"/>
      <w:r w:rsidR="00B9085A">
        <w:t>, 2004).</w:t>
      </w:r>
    </w:p>
    <w:p w14:paraId="6DDE64D2" w14:textId="0C2CF70C" w:rsidR="00B9085A" w:rsidRDefault="00B9085A" w:rsidP="00B9085A">
      <w:proofErr w:type="spellStart"/>
      <w:r>
        <w:t>Uttarachon</w:t>
      </w:r>
      <w:proofErr w:type="spellEnd"/>
      <w:r>
        <w:t xml:space="preserve"> et al (2019) address this risk of shearing forces during turning though the addition of a lateral small air bellow which, when inflated, supports and prevents a body from sliding down in their mattress turning prototype</w:t>
      </w:r>
      <w:r w:rsidR="00080505">
        <w:t>.</w:t>
      </w:r>
    </w:p>
    <w:p w14:paraId="4477655A" w14:textId="77777777" w:rsidR="00080505" w:rsidRDefault="00080505" w:rsidP="00B9085A"/>
    <w:p w14:paraId="152DCE59" w14:textId="377F9A93" w:rsidR="00A20A13" w:rsidRDefault="00B9085A" w:rsidP="00B9085A">
      <w:pPr>
        <w:pStyle w:val="Heading3"/>
      </w:pPr>
      <w:bookmarkStart w:id="12" w:name="_Toc14174505"/>
      <w:r>
        <w:t>3.2.3. Pressure increased in certain areas</w:t>
      </w:r>
      <w:bookmarkEnd w:id="12"/>
    </w:p>
    <w:p w14:paraId="001E19D2" w14:textId="53AAC2BF" w:rsidR="00080505" w:rsidRDefault="00B56250" w:rsidP="00080505">
      <w:r>
        <w:t>It was shown in numerous studies that CLRT does increase the pressure in the greater trochanter and sacrum</w:t>
      </w:r>
      <w:r w:rsidR="00080505">
        <w:t xml:space="preserve"> (Black, 2006; </w:t>
      </w:r>
      <w:proofErr w:type="spellStart"/>
      <w:r w:rsidR="00080505">
        <w:t>Uttarachon</w:t>
      </w:r>
      <w:proofErr w:type="spellEnd"/>
      <w:r w:rsidR="00080505">
        <w:t xml:space="preserve"> et al, 2019). </w:t>
      </w:r>
    </w:p>
    <w:p w14:paraId="79E121A6" w14:textId="1493D15C" w:rsidR="00343A1D" w:rsidRDefault="00080505" w:rsidP="00343A1D">
      <w:r>
        <w:t xml:space="preserve">Wanless and </w:t>
      </w:r>
      <w:proofErr w:type="spellStart"/>
      <w:r>
        <w:t>Aldrige</w:t>
      </w:r>
      <w:proofErr w:type="spellEnd"/>
      <w:r>
        <w:t xml:space="preserve"> (2011) also highlighted that</w:t>
      </w:r>
      <w:r w:rsidR="00B56250">
        <w:t xml:space="preserve"> </w:t>
      </w:r>
      <w:r>
        <w:t>h</w:t>
      </w:r>
      <w:r w:rsidR="00343A1D">
        <w:t xml:space="preserve">eels must be protected from prolonged pressure </w:t>
      </w:r>
      <w:r>
        <w:t>which can still occur with CLRT, this could be through the use of a</w:t>
      </w:r>
      <w:r w:rsidR="00343A1D">
        <w:t xml:space="preserve"> speciality therapy surface or by the use of positioning devices</w:t>
      </w:r>
      <w:r>
        <w:t>.</w:t>
      </w:r>
    </w:p>
    <w:p w14:paraId="60870BE1" w14:textId="36076E6D" w:rsidR="00E63162" w:rsidRDefault="00836C3C" w:rsidP="00836C3C">
      <w:pPr>
        <w:pStyle w:val="Heading1"/>
      </w:pPr>
      <w:bookmarkStart w:id="13" w:name="_Toc14174506"/>
      <w:r>
        <w:t xml:space="preserve">4. </w:t>
      </w:r>
      <w:r w:rsidR="00B44BBA">
        <w:rPr>
          <w:caps w:val="0"/>
        </w:rPr>
        <w:t>CONCLUSIONS</w:t>
      </w:r>
      <w:bookmarkEnd w:id="13"/>
    </w:p>
    <w:p w14:paraId="4829DFA4" w14:textId="73F2273F" w:rsidR="00836C3C" w:rsidRDefault="000C3531" w:rsidP="00836C3C">
      <w:r>
        <w:t>Reviewing numerous literature articles, it becomes apparent that there is not a</w:t>
      </w:r>
      <w:r w:rsidR="005F2B3F">
        <w:t xml:space="preserve"> specifically defined </w:t>
      </w:r>
      <w:r w:rsidR="009A7438">
        <w:t>rotation amount to give the clinical benefits of CLRT. Although 30° is demonstrated as worthwhile and suitable when manually repositioning the patient for pressure reduction, this specific figure falls under the range of rotation amounts that have been studied</w:t>
      </w:r>
      <w:r w:rsidR="00DB3FFB">
        <w:t xml:space="preserve"> for CLRT</w:t>
      </w:r>
      <w:r w:rsidR="009A7438">
        <w:t xml:space="preserve">. </w:t>
      </w:r>
    </w:p>
    <w:p w14:paraId="0A6AD5D2" w14:textId="7373E99A" w:rsidR="009A7438" w:rsidRDefault="009A7438" w:rsidP="00836C3C">
      <w:r>
        <w:t xml:space="preserve">Ultimately 40° or more seems to have been accepted </w:t>
      </w:r>
      <w:r w:rsidR="00610617">
        <w:t>as significantly reducing incidences of VAP amongst other reduced incidences like: urinary tract, atelectasis and respiratory tract infections. However, this degree of rotation can be unnerving for conscious patients and they cannot tolerate such rotation amounts.</w:t>
      </w:r>
    </w:p>
    <w:p w14:paraId="5A01F165" w14:textId="1BB1F2AD" w:rsidR="00CB4EB7" w:rsidRDefault="00610617" w:rsidP="00836C3C">
      <w:r>
        <w:t xml:space="preserve">As shown in the table, there is still benefits with rotating the patient 30° as shown in Blacks (2006) case study in terms of reducing </w:t>
      </w:r>
      <w:r w:rsidR="00CB4EB7">
        <w:t xml:space="preserve">VAP and helping to mobilise secretions in the lungs. The case study highlighted the occurrence of pressure injuries to the sacrum when only rotating to 30°. This was confirmed by </w:t>
      </w:r>
      <w:proofErr w:type="spellStart"/>
      <w:r w:rsidR="00CB4EB7">
        <w:t>Uttarachon</w:t>
      </w:r>
      <w:proofErr w:type="spellEnd"/>
      <w:r w:rsidR="00CB4EB7">
        <w:t xml:space="preserve"> et </w:t>
      </w:r>
      <w:proofErr w:type="spellStart"/>
      <w:r w:rsidR="00CB4EB7">
        <w:t>al’s</w:t>
      </w:r>
      <w:proofErr w:type="spellEnd"/>
      <w:r w:rsidR="00CB4EB7">
        <w:t xml:space="preserve"> (2019) prototype where there was still pressure acting on the sacrum. From this it seems that the benefits of CLRT on pressure reduction do not extend to the sacrum and heels that are permanently in contact with the surface. </w:t>
      </w:r>
    </w:p>
    <w:p w14:paraId="14B7A527" w14:textId="3C793258" w:rsidR="00CB4EB7" w:rsidRDefault="00CB4EB7" w:rsidP="00836C3C">
      <w:r>
        <w:t xml:space="preserve">As the NoDec Wizard has both alternating pressure air mattress and the rotational features, any risks regarding pressure injuries should already be preventable from the upper alternating pressure deck of the mattress. </w:t>
      </w:r>
    </w:p>
    <w:p w14:paraId="108D2BDE" w14:textId="402FA20D" w:rsidR="00CB4EB7" w:rsidRDefault="00CB4EB7" w:rsidP="00836C3C">
      <w:r>
        <w:t xml:space="preserve">Like </w:t>
      </w:r>
      <w:proofErr w:type="spellStart"/>
      <w:r>
        <w:t>Uttarachon</w:t>
      </w:r>
      <w:proofErr w:type="spellEnd"/>
      <w:r>
        <w:t xml:space="preserve"> et </w:t>
      </w:r>
      <w:proofErr w:type="spellStart"/>
      <w:r>
        <w:t>al’s</w:t>
      </w:r>
      <w:proofErr w:type="spellEnd"/>
      <w:r>
        <w:t xml:space="preserve"> (2019) prototype, the former that is integrated in the mattress design will also support the patient and should prevent shearing forces.</w:t>
      </w:r>
    </w:p>
    <w:p w14:paraId="7E68A62F" w14:textId="63F5A00A" w:rsidR="00CB4EB7" w:rsidRDefault="00CB4EB7" w:rsidP="00CB4EB7">
      <w:pPr>
        <w:pStyle w:val="Heading1"/>
      </w:pPr>
      <w:bookmarkStart w:id="14" w:name="_Toc14174507"/>
      <w:r>
        <w:lastRenderedPageBreak/>
        <w:t>5. BIBLIOGRAPHY</w:t>
      </w:r>
      <w:bookmarkEnd w:id="14"/>
    </w:p>
    <w:p w14:paraId="4E875C97" w14:textId="77777777" w:rsidR="00B44BBA" w:rsidRPr="00A47DC8" w:rsidRDefault="00B44BBA" w:rsidP="00CB4EB7">
      <w:r>
        <w:t xml:space="preserve">Ahrens, T, </w:t>
      </w:r>
      <w:proofErr w:type="spellStart"/>
      <w:r>
        <w:t>Kollef</w:t>
      </w:r>
      <w:proofErr w:type="spellEnd"/>
      <w:r>
        <w:t xml:space="preserve">, M, Stewart, J and Shannon, W (2004). Effect of Kinetic Therapy on Pulmonary Complications. </w:t>
      </w:r>
      <w:r>
        <w:rPr>
          <w:i/>
          <w:iCs/>
        </w:rPr>
        <w:t xml:space="preserve">American Journal of Critical Care. </w:t>
      </w:r>
      <w:r>
        <w:t xml:space="preserve">13(5); 376-382 </w:t>
      </w:r>
    </w:p>
    <w:p w14:paraId="39F7FD40" w14:textId="77777777" w:rsidR="00B44BBA" w:rsidRPr="00AD607F" w:rsidRDefault="00B44BBA" w:rsidP="00836C3C">
      <w:proofErr w:type="spellStart"/>
      <w:r>
        <w:t>Ambrosino</w:t>
      </w:r>
      <w:proofErr w:type="spellEnd"/>
      <w:r>
        <w:t xml:space="preserve">, N and </w:t>
      </w:r>
      <w:proofErr w:type="spellStart"/>
      <w:r>
        <w:t>Clini</w:t>
      </w:r>
      <w:proofErr w:type="spellEnd"/>
      <w:r>
        <w:t xml:space="preserve">, E (2005). Early physiotherapy in the respiratory intensive care unit. </w:t>
      </w:r>
      <w:proofErr w:type="spellStart"/>
      <w:r>
        <w:rPr>
          <w:i/>
          <w:iCs/>
        </w:rPr>
        <w:t>Respiraty</w:t>
      </w:r>
      <w:proofErr w:type="spellEnd"/>
      <w:r>
        <w:rPr>
          <w:i/>
          <w:iCs/>
        </w:rPr>
        <w:t xml:space="preserve"> Medicine. </w:t>
      </w:r>
      <w:r>
        <w:t>99(9); 1096-1104</w:t>
      </w:r>
      <w:bookmarkStart w:id="15" w:name="_GoBack"/>
      <w:bookmarkEnd w:id="15"/>
    </w:p>
    <w:p w14:paraId="79BB5C69" w14:textId="77777777" w:rsidR="00B44BBA" w:rsidRDefault="00B44BBA" w:rsidP="00836C3C">
      <w:r>
        <w:t xml:space="preserve">Anderson, C and </w:t>
      </w:r>
      <w:proofErr w:type="spellStart"/>
      <w:r>
        <w:t>Rappl</w:t>
      </w:r>
      <w:proofErr w:type="spellEnd"/>
      <w:r>
        <w:t xml:space="preserve">, L (2004). Lateral Rotation Mattress for Wound Healing. </w:t>
      </w:r>
      <w:r>
        <w:rPr>
          <w:i/>
          <w:iCs/>
        </w:rPr>
        <w:t>Ostomy/Wound Management</w:t>
      </w:r>
      <w:r>
        <w:t>. 50(4); 50-62</w:t>
      </w:r>
    </w:p>
    <w:p w14:paraId="23D51205" w14:textId="77777777" w:rsidR="00B44BBA" w:rsidRDefault="00B44BBA" w:rsidP="00836C3C">
      <w:r>
        <w:t xml:space="preserve">Anderson, R, </w:t>
      </w:r>
      <w:proofErr w:type="spellStart"/>
      <w:r>
        <w:t>Kleiber</w:t>
      </w:r>
      <w:proofErr w:type="spellEnd"/>
      <w:r>
        <w:t xml:space="preserve">, C, Greiner, J, </w:t>
      </w:r>
      <w:proofErr w:type="spellStart"/>
      <w:r>
        <w:t>Comried</w:t>
      </w:r>
      <w:proofErr w:type="spellEnd"/>
      <w:r>
        <w:t xml:space="preserve">, L. and Zimmerman, M (2016). Interface pressure redistribution on skin during continuous lateral rotation therapy: A feasibility study. </w:t>
      </w:r>
      <w:r>
        <w:rPr>
          <w:i/>
          <w:iCs/>
        </w:rPr>
        <w:t xml:space="preserve">Heart &amp; Lung. </w:t>
      </w:r>
      <w:r w:rsidRPr="003A2846">
        <w:t xml:space="preserve"> 45; 237-243</w:t>
      </w:r>
    </w:p>
    <w:p w14:paraId="4021169E" w14:textId="77777777" w:rsidR="00B44BBA" w:rsidRDefault="00B44BBA" w:rsidP="00836C3C">
      <w:r>
        <w:t>Black, J (2006) Saving the skin during kinetic bed therapy.</w:t>
      </w:r>
      <w:r>
        <w:rPr>
          <w:i/>
          <w:iCs/>
        </w:rPr>
        <w:t xml:space="preserve"> Wound &amp; Skin Care</w:t>
      </w:r>
      <w:r>
        <w:t>. 36(10); 17</w:t>
      </w:r>
    </w:p>
    <w:p w14:paraId="506D8C35" w14:textId="77777777" w:rsidR="00B44BBA" w:rsidRDefault="00B44BBA" w:rsidP="00836C3C">
      <w:proofErr w:type="spellStart"/>
      <w:r>
        <w:t>Cuesy</w:t>
      </w:r>
      <w:proofErr w:type="spellEnd"/>
      <w:r>
        <w:t xml:space="preserve">, P G, Sotomayor, P L and Piña, J O (2010). Reduction in the Incidence of Poststroke Nosocomial Pneumonia by using the “Turn-mob” Program. </w:t>
      </w:r>
      <w:r>
        <w:rPr>
          <w:i/>
          <w:iCs/>
        </w:rPr>
        <w:t xml:space="preserve">Journal of Stroke and Cerebrovascular Diseases. </w:t>
      </w:r>
      <w:r>
        <w:t>19(1); 23-28</w:t>
      </w:r>
    </w:p>
    <w:p w14:paraId="15A89ACF" w14:textId="77777777" w:rsidR="00B44BBA" w:rsidRDefault="00B44BBA" w:rsidP="00836C3C">
      <w:r>
        <w:t xml:space="preserve">Goldhill, D R, Imhoff, M, Mclean, B and </w:t>
      </w:r>
      <w:proofErr w:type="spellStart"/>
      <w:r>
        <w:t>Waldmann</w:t>
      </w:r>
      <w:proofErr w:type="spellEnd"/>
      <w:r>
        <w:t xml:space="preserve">, C (2007). Rotational Bed Therapy </w:t>
      </w:r>
      <w:r w:rsidRPr="00F675B3">
        <w:t>to Prevent and Treat Respiratory Complications: A Review and Meta-Analysis</w:t>
      </w:r>
      <w:r>
        <w:t xml:space="preserve">. </w:t>
      </w:r>
      <w:r>
        <w:rPr>
          <w:i/>
          <w:iCs/>
        </w:rPr>
        <w:t xml:space="preserve">American Journal of Critical Care. </w:t>
      </w:r>
      <w:r>
        <w:t>16(1); 50-61</w:t>
      </w:r>
    </w:p>
    <w:p w14:paraId="0047AA9B" w14:textId="77777777" w:rsidR="00B44BBA" w:rsidRDefault="00B44BBA" w:rsidP="00836C3C">
      <w:r>
        <w:t xml:space="preserve">Kang, S, DiStefano, M J, Yehia, F, Luthra, K, Waters, D and </w:t>
      </w:r>
      <w:proofErr w:type="spellStart"/>
      <w:r>
        <w:t>Padula</w:t>
      </w:r>
      <w:proofErr w:type="spellEnd"/>
      <w:r>
        <w:t xml:space="preserve">, WV (2017). The value of beds with continuous lateral rotation therapy to prevent ventilator-associated pneumonia and pressure injuries: A Cost-Effectiveness Analysis. </w:t>
      </w:r>
      <w:r>
        <w:rPr>
          <w:i/>
          <w:iCs/>
        </w:rPr>
        <w:t>Value in Health.</w:t>
      </w:r>
      <w:r>
        <w:t xml:space="preserve"> 20; 399-811</w:t>
      </w:r>
    </w:p>
    <w:p w14:paraId="5868A0A6" w14:textId="77777777" w:rsidR="00B44BBA" w:rsidRPr="00B44BBA" w:rsidRDefault="00B44BBA" w:rsidP="00836C3C">
      <w:pPr>
        <w:rPr>
          <w:rFonts w:cs="Arial"/>
        </w:rPr>
      </w:pPr>
      <w:r w:rsidRPr="00B44BBA">
        <w:t>Moore, Z and Cowman, S (2012). Using the 30</w:t>
      </w:r>
      <w:r w:rsidRPr="00B44BBA">
        <w:rPr>
          <w:rFonts w:cs="Arial"/>
        </w:rPr>
        <w:t>° tilt to Reduce Pressure Ulcers</w:t>
      </w:r>
      <w:r>
        <w:rPr>
          <w:rFonts w:cs="Arial"/>
        </w:rPr>
        <w:t xml:space="preserve">. </w:t>
      </w:r>
      <w:r>
        <w:rPr>
          <w:rFonts w:cs="Arial"/>
          <w:i/>
          <w:iCs/>
        </w:rPr>
        <w:t>Nursing Times.</w:t>
      </w:r>
      <w:r>
        <w:rPr>
          <w:rFonts w:cs="Arial"/>
        </w:rPr>
        <w:t xml:space="preserve"> 108(4); 22-24</w:t>
      </w:r>
    </w:p>
    <w:p w14:paraId="40E7DDD1" w14:textId="77777777" w:rsidR="00B44BBA" w:rsidRDefault="00B44BBA" w:rsidP="00836C3C">
      <w:proofErr w:type="spellStart"/>
      <w:r>
        <w:t>Uttarachon</w:t>
      </w:r>
      <w:proofErr w:type="spellEnd"/>
      <w:r>
        <w:t xml:space="preserve">, K, </w:t>
      </w:r>
      <w:proofErr w:type="spellStart"/>
      <w:r>
        <w:t>Sawattikanon</w:t>
      </w:r>
      <w:proofErr w:type="spellEnd"/>
      <w:r>
        <w:t xml:space="preserve">, N and </w:t>
      </w:r>
      <w:proofErr w:type="spellStart"/>
      <w:r>
        <w:t>Kovinda</w:t>
      </w:r>
      <w:proofErr w:type="spellEnd"/>
      <w:r>
        <w:t xml:space="preserve">, A (2019). </w:t>
      </w:r>
      <w:r w:rsidRPr="00F675B3">
        <w:t>A Prototype of an Automatic Mattress Turning Device: A study of Interface Pressure at Bony Prominences in Normal Subjects</w:t>
      </w:r>
      <w:r>
        <w:t xml:space="preserve">. </w:t>
      </w:r>
      <w:r>
        <w:rPr>
          <w:i/>
          <w:iCs/>
        </w:rPr>
        <w:t xml:space="preserve">Asia-Pacific Journal of Science and Technology. </w:t>
      </w:r>
      <w:r>
        <w:t>24(2); 1-6</w:t>
      </w:r>
    </w:p>
    <w:p w14:paraId="1A35772A" w14:textId="77777777" w:rsidR="00B44BBA" w:rsidRDefault="00B44BBA" w:rsidP="00836C3C">
      <w:proofErr w:type="spellStart"/>
      <w:r>
        <w:t>Vollman</w:t>
      </w:r>
      <w:proofErr w:type="spellEnd"/>
      <w:r>
        <w:t xml:space="preserve">, K. M (2012). Hemodynamic Instability: Is it Really a Barrier to Turning Critically Ill Patients. </w:t>
      </w:r>
      <w:r>
        <w:rPr>
          <w:i/>
          <w:iCs/>
        </w:rPr>
        <w:t xml:space="preserve">Critical Care Nurse. </w:t>
      </w:r>
      <w:r>
        <w:t>32(1); 70-75</w:t>
      </w:r>
    </w:p>
    <w:p w14:paraId="102950BD" w14:textId="77777777" w:rsidR="00B44BBA" w:rsidRDefault="00B44BBA" w:rsidP="00CB4EB7">
      <w:r>
        <w:t xml:space="preserve">Wanless, S and Aldridge, M (2011). Continuous Lateral Rotation Therapy – A Review. </w:t>
      </w:r>
      <w:r>
        <w:rPr>
          <w:i/>
          <w:iCs/>
        </w:rPr>
        <w:t>Nursing in Critical Care.</w:t>
      </w:r>
      <w:r>
        <w:t xml:space="preserve"> 17(1); 28-35</w:t>
      </w:r>
    </w:p>
    <w:p w14:paraId="199F1D54" w14:textId="77777777" w:rsidR="00B1091E" w:rsidRPr="00976FE8" w:rsidRDefault="00B1091E" w:rsidP="00976FE8"/>
    <w:sectPr w:rsidR="00B1091E" w:rsidRPr="00976FE8" w:rsidSect="00B1091E">
      <w:headerReference w:type="default" r:id="rId8"/>
      <w:footerReference w:type="default" r:id="rId9"/>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FD0BE" w14:textId="77777777" w:rsidR="00AD607F" w:rsidRDefault="00AD607F" w:rsidP="00A9530B">
      <w:pPr>
        <w:spacing w:after="0" w:line="240" w:lineRule="auto"/>
      </w:pPr>
      <w:r>
        <w:separator/>
      </w:r>
    </w:p>
  </w:endnote>
  <w:endnote w:type="continuationSeparator" w:id="0">
    <w:p w14:paraId="7B62EC2A" w14:textId="77777777" w:rsidR="00AD607F" w:rsidRDefault="00AD607F" w:rsidP="00A9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29"/>
      <w:gridCol w:w="6242"/>
      <w:gridCol w:w="1645"/>
    </w:tblGrid>
    <w:tr w:rsidR="00AD607F" w:rsidRPr="00976FE8" w14:paraId="35D95D02" w14:textId="77777777" w:rsidTr="00B1091E">
      <w:tc>
        <w:tcPr>
          <w:tcW w:w="1129" w:type="dxa"/>
        </w:tcPr>
        <w:p w14:paraId="033175EF" w14:textId="74285111" w:rsidR="00AD607F" w:rsidRPr="00976FE8" w:rsidRDefault="00AD607F">
          <w:pPr>
            <w:pStyle w:val="Footer"/>
            <w:rPr>
              <w:b/>
            </w:rPr>
          </w:pPr>
          <w:r w:rsidRPr="00976FE8">
            <w:rPr>
              <w:b/>
            </w:rPr>
            <w:t>Doc Title:</w:t>
          </w:r>
        </w:p>
      </w:tc>
      <w:tc>
        <w:tcPr>
          <w:tcW w:w="6242" w:type="dxa"/>
        </w:tcPr>
        <w:p w14:paraId="1B860A53" w14:textId="0B2FA557" w:rsidR="00AD607F" w:rsidRPr="00976FE8" w:rsidRDefault="00AD607F">
          <w:pPr>
            <w:pStyle w:val="Footer"/>
          </w:pPr>
          <w:r>
            <w:rPr>
              <w:noProof/>
            </w:rPr>
            <w:fldChar w:fldCharType="begin"/>
          </w:r>
          <w:r>
            <w:rPr>
              <w:noProof/>
            </w:rPr>
            <w:instrText xml:space="preserve"> STYLEREF  Title  \* MERGEFORMAT </w:instrText>
          </w:r>
          <w:r>
            <w:rPr>
              <w:noProof/>
            </w:rPr>
            <w:fldChar w:fldCharType="separate"/>
          </w:r>
          <w:r w:rsidR="00DB3FFB">
            <w:rPr>
              <w:noProof/>
            </w:rPr>
            <w:t>Clinical Literature Review</w:t>
          </w:r>
          <w:r>
            <w:rPr>
              <w:noProof/>
            </w:rPr>
            <w:fldChar w:fldCharType="end"/>
          </w:r>
        </w:p>
      </w:tc>
      <w:tc>
        <w:tcPr>
          <w:tcW w:w="1645" w:type="dxa"/>
        </w:tcPr>
        <w:sdt>
          <w:sdtPr>
            <w:id w:val="-197848878"/>
            <w:docPartObj>
              <w:docPartGallery w:val="Page Numbers (Bottom of Page)"/>
              <w:docPartUnique/>
            </w:docPartObj>
          </w:sdtPr>
          <w:sdtEndPr/>
          <w:sdtContent>
            <w:sdt>
              <w:sdtPr>
                <w:id w:val="-1769616900"/>
                <w:docPartObj>
                  <w:docPartGallery w:val="Page Numbers (Top of Page)"/>
                  <w:docPartUnique/>
                </w:docPartObj>
              </w:sdtPr>
              <w:sdtEndPr/>
              <w:sdtContent>
                <w:p w14:paraId="0046C3FC" w14:textId="078A061B" w:rsidR="00AD607F" w:rsidRPr="00976FE8" w:rsidRDefault="00AD607F" w:rsidP="00976FE8">
                  <w:pPr>
                    <w:pStyle w:val="Footer"/>
                    <w:jc w:val="right"/>
                  </w:pPr>
                  <w:r w:rsidRPr="00976FE8">
                    <w:t xml:space="preserve">Page </w:t>
                  </w:r>
                  <w:r w:rsidRPr="00976FE8">
                    <w:rPr>
                      <w:b/>
                      <w:bCs/>
                      <w:sz w:val="24"/>
                      <w:szCs w:val="24"/>
                    </w:rPr>
                    <w:fldChar w:fldCharType="begin"/>
                  </w:r>
                  <w:r w:rsidRPr="00976FE8">
                    <w:rPr>
                      <w:b/>
                      <w:bCs/>
                    </w:rPr>
                    <w:instrText xml:space="preserve"> PAGE </w:instrText>
                  </w:r>
                  <w:r w:rsidRPr="00976FE8">
                    <w:rPr>
                      <w:b/>
                      <w:bCs/>
                      <w:sz w:val="24"/>
                      <w:szCs w:val="24"/>
                    </w:rPr>
                    <w:fldChar w:fldCharType="separate"/>
                  </w:r>
                  <w:r w:rsidRPr="00976FE8">
                    <w:rPr>
                      <w:b/>
                      <w:bCs/>
                      <w:sz w:val="24"/>
                      <w:szCs w:val="24"/>
                    </w:rPr>
                    <w:t>1</w:t>
                  </w:r>
                  <w:r w:rsidRPr="00976FE8">
                    <w:rPr>
                      <w:b/>
                      <w:bCs/>
                      <w:sz w:val="24"/>
                      <w:szCs w:val="24"/>
                    </w:rPr>
                    <w:fldChar w:fldCharType="end"/>
                  </w:r>
                  <w:r w:rsidRPr="00976FE8">
                    <w:t xml:space="preserve"> of </w:t>
                  </w:r>
                  <w:r w:rsidRPr="00976FE8">
                    <w:rPr>
                      <w:b/>
                      <w:bCs/>
                      <w:sz w:val="24"/>
                      <w:szCs w:val="24"/>
                    </w:rPr>
                    <w:fldChar w:fldCharType="begin"/>
                  </w:r>
                  <w:r w:rsidRPr="00976FE8">
                    <w:rPr>
                      <w:b/>
                      <w:bCs/>
                    </w:rPr>
                    <w:instrText xml:space="preserve"> NUMPAGES  </w:instrText>
                  </w:r>
                  <w:r w:rsidRPr="00976FE8">
                    <w:rPr>
                      <w:b/>
                      <w:bCs/>
                      <w:sz w:val="24"/>
                      <w:szCs w:val="24"/>
                    </w:rPr>
                    <w:fldChar w:fldCharType="separate"/>
                  </w:r>
                  <w:r w:rsidRPr="00976FE8">
                    <w:rPr>
                      <w:b/>
                      <w:bCs/>
                      <w:sz w:val="24"/>
                      <w:szCs w:val="24"/>
                    </w:rPr>
                    <w:t>1</w:t>
                  </w:r>
                  <w:r w:rsidRPr="00976FE8">
                    <w:rPr>
                      <w:b/>
                      <w:bCs/>
                      <w:sz w:val="24"/>
                      <w:szCs w:val="24"/>
                    </w:rPr>
                    <w:fldChar w:fldCharType="end"/>
                  </w:r>
                </w:p>
              </w:sdtContent>
            </w:sdt>
          </w:sdtContent>
        </w:sdt>
      </w:tc>
    </w:tr>
  </w:tbl>
  <w:p w14:paraId="78B8C6AC" w14:textId="77777777" w:rsidR="00AD607F" w:rsidRDefault="00AD6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E17FC" w14:textId="77777777" w:rsidR="00AD607F" w:rsidRDefault="00AD607F" w:rsidP="00A9530B">
      <w:pPr>
        <w:spacing w:after="0" w:line="240" w:lineRule="auto"/>
      </w:pPr>
      <w:r>
        <w:separator/>
      </w:r>
    </w:p>
  </w:footnote>
  <w:footnote w:type="continuationSeparator" w:id="0">
    <w:p w14:paraId="07AE73E1" w14:textId="77777777" w:rsidR="00AD607F" w:rsidRDefault="00AD607F" w:rsidP="00A95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551" w:type="dxa"/>
      <w:tblInd w:w="-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89"/>
      <w:gridCol w:w="1701"/>
      <w:gridCol w:w="2552"/>
      <w:gridCol w:w="1559"/>
      <w:gridCol w:w="1250"/>
    </w:tblGrid>
    <w:tr w:rsidR="00AD607F" w14:paraId="54440204" w14:textId="3BE54135" w:rsidTr="00DD1A77">
      <w:trPr>
        <w:trHeight w:val="557"/>
      </w:trPr>
      <w:tc>
        <w:tcPr>
          <w:tcW w:w="348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C1B659" w14:textId="4BC32869" w:rsidR="00AD607F" w:rsidRDefault="00AD607F" w:rsidP="00DD1A77">
          <w:pPr>
            <w:pStyle w:val="Header"/>
          </w:pPr>
          <w:r>
            <w:rPr>
              <w:noProof/>
            </w:rPr>
            <w:drawing>
              <wp:inline distT="0" distB="0" distL="0" distR="0" wp14:anchorId="18F2239B" wp14:editId="2B3DE935">
                <wp:extent cx="2131345" cy="66985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ber.bmp"/>
                        <pic:cNvPicPr/>
                      </pic:nvPicPr>
                      <pic:blipFill>
                        <a:blip r:embed="rId1">
                          <a:extLst>
                            <a:ext uri="{28A0092B-C50C-407E-A947-70E740481C1C}">
                              <a14:useLocalDpi xmlns:a14="http://schemas.microsoft.com/office/drawing/2010/main" val="0"/>
                            </a:ext>
                          </a:extLst>
                        </a:blip>
                        <a:stretch>
                          <a:fillRect/>
                        </a:stretch>
                      </pic:blipFill>
                      <pic:spPr>
                        <a:xfrm>
                          <a:off x="0" y="0"/>
                          <a:ext cx="2131345" cy="669851"/>
                        </a:xfrm>
                        <a:prstGeom prst="rect">
                          <a:avLst/>
                        </a:prstGeom>
                      </pic:spPr>
                    </pic:pic>
                  </a:graphicData>
                </a:graphic>
              </wp:inline>
            </w:drawing>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7D4230" w14:textId="090DE0F1" w:rsidR="00AD607F" w:rsidRPr="00DD1A77" w:rsidRDefault="00AD607F" w:rsidP="00A9530B">
          <w:pPr>
            <w:pStyle w:val="Header"/>
            <w:jc w:val="right"/>
            <w:rPr>
              <w:b/>
            </w:rPr>
          </w:pPr>
          <w:r w:rsidRPr="00DD1A77">
            <w:rPr>
              <w:b/>
            </w:rPr>
            <w:t>Written By:</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60D459" w14:textId="0B0275F9" w:rsidR="00AD607F" w:rsidRDefault="00AD607F" w:rsidP="00931E55">
          <w:pPr>
            <w:pStyle w:val="Header"/>
          </w:pPr>
          <w:r>
            <w:t>Ben Smith</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BF3AEA" w14:textId="4F701F1A" w:rsidR="00AD607F" w:rsidRPr="00DD1A77" w:rsidRDefault="00AD607F" w:rsidP="00DD1A77">
          <w:pPr>
            <w:pStyle w:val="Header"/>
            <w:jc w:val="right"/>
            <w:rPr>
              <w:b/>
            </w:rPr>
          </w:pPr>
          <w:r w:rsidRPr="00DD1A77">
            <w:rPr>
              <w:b/>
            </w:rPr>
            <w:t>Other References</w:t>
          </w:r>
        </w:p>
      </w:tc>
      <w:tc>
        <w:tcPr>
          <w:tcW w:w="1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03580E" w14:textId="77777777" w:rsidR="00AD607F" w:rsidRDefault="00AD607F">
          <w:pPr>
            <w:pStyle w:val="Header"/>
          </w:pPr>
        </w:p>
      </w:tc>
    </w:tr>
    <w:tr w:rsidR="00AD607F" w14:paraId="460A6E72" w14:textId="4C560E11" w:rsidTr="00DD1A77">
      <w:trPr>
        <w:trHeight w:val="77"/>
      </w:trPr>
      <w:tc>
        <w:tcPr>
          <w:tcW w:w="348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0E3994" w14:textId="77777777" w:rsidR="00AD607F" w:rsidRDefault="00AD607F">
          <w:pPr>
            <w:pStyle w:val="Heade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C3D2B5" w14:textId="444EBEDE" w:rsidR="00AD607F" w:rsidRPr="00DD1A77" w:rsidRDefault="00AD607F" w:rsidP="00A9530B">
          <w:pPr>
            <w:pStyle w:val="Header"/>
            <w:jc w:val="right"/>
            <w:rPr>
              <w:b/>
            </w:rPr>
          </w:pPr>
          <w:r w:rsidRPr="00DD1A77">
            <w:rPr>
              <w:b/>
            </w:rPr>
            <w:t>Version:</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7751D5" w14:textId="64929244" w:rsidR="00AD607F" w:rsidRDefault="00AD607F" w:rsidP="00931E55">
          <w:pPr>
            <w:pStyle w:val="Header"/>
          </w:pPr>
          <w:r>
            <w:t>1.00</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5687D3" w14:textId="77777777" w:rsidR="00AD607F" w:rsidRPr="00DD1A77" w:rsidRDefault="00AD607F" w:rsidP="00DD1A77">
          <w:pPr>
            <w:pStyle w:val="Header"/>
            <w:jc w:val="right"/>
            <w:rPr>
              <w:b/>
            </w:rPr>
          </w:pPr>
          <w:r w:rsidRPr="00DD1A77">
            <w:rPr>
              <w:b/>
            </w:rPr>
            <w:t>Date:</w:t>
          </w:r>
        </w:p>
        <w:p w14:paraId="6F8B1751" w14:textId="77AD44BF" w:rsidR="00AD607F" w:rsidRDefault="00AD607F" w:rsidP="00DD1A77">
          <w:pPr>
            <w:pStyle w:val="Header"/>
            <w:jc w:val="right"/>
          </w:pPr>
          <w:r w:rsidRPr="00DD1A77">
            <w:rPr>
              <w:sz w:val="18"/>
            </w:rPr>
            <w:t>(DD / MM / YY)</w:t>
          </w:r>
        </w:p>
      </w:tc>
      <w:tc>
        <w:tcPr>
          <w:tcW w:w="1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667B1E" w14:textId="14797555" w:rsidR="00AD607F" w:rsidRDefault="00B44BBA" w:rsidP="00DD1A77">
          <w:pPr>
            <w:pStyle w:val="Header"/>
          </w:pPr>
          <w:r>
            <w:t>16</w:t>
          </w:r>
          <w:r w:rsidR="00AD607F">
            <w:t>/07/19</w:t>
          </w:r>
        </w:p>
      </w:tc>
    </w:tr>
    <w:tr w:rsidR="00AD607F" w14:paraId="4CD7CFA2" w14:textId="228DF8AE" w:rsidTr="00DD1A77">
      <w:trPr>
        <w:trHeight w:val="260"/>
      </w:trPr>
      <w:tc>
        <w:tcPr>
          <w:tcW w:w="7742" w:type="dxa"/>
          <w:gridSpan w:val="3"/>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77E53AD6" w14:textId="25614C7E" w:rsidR="00AD607F" w:rsidRPr="00976FE8" w:rsidRDefault="00AD607F" w:rsidP="00976FE8">
          <w:pPr>
            <w:pStyle w:val="Title"/>
          </w:pPr>
          <w:r>
            <w:t>Clinical Literature Review</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0F0FA4" w14:textId="7BCA93C8" w:rsidR="00AD607F" w:rsidRPr="00DD1A77" w:rsidRDefault="00AD607F" w:rsidP="00A9530B">
          <w:pPr>
            <w:pStyle w:val="Header"/>
            <w:jc w:val="right"/>
            <w:rPr>
              <w:b/>
            </w:rPr>
          </w:pPr>
          <w:r w:rsidRPr="00DD1A77">
            <w:rPr>
              <w:b/>
            </w:rPr>
            <w:t>Project Ref:</w:t>
          </w:r>
        </w:p>
      </w:tc>
      <w:tc>
        <w:tcPr>
          <w:tcW w:w="1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89E954" w14:textId="00C88DBC" w:rsidR="00AD607F" w:rsidRDefault="00AD607F" w:rsidP="00931E55">
          <w:pPr>
            <w:pStyle w:val="Header"/>
          </w:pPr>
          <w:r>
            <w:t>0026</w:t>
          </w:r>
        </w:p>
      </w:tc>
    </w:tr>
    <w:tr w:rsidR="00AD607F" w14:paraId="2B88DCE3" w14:textId="77777777" w:rsidTr="00B1091E">
      <w:trPr>
        <w:trHeight w:val="277"/>
      </w:trPr>
      <w:tc>
        <w:tcPr>
          <w:tcW w:w="7742"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FC04EED" w14:textId="77777777" w:rsidR="00AD607F" w:rsidRDefault="00AD607F" w:rsidP="00A9530B">
          <w:pPr>
            <w:pStyle w:val="Heade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A08A6D" w14:textId="6C0E12BB" w:rsidR="00AD607F" w:rsidRPr="00DD1A77" w:rsidRDefault="00AD607F" w:rsidP="00A9530B">
          <w:pPr>
            <w:pStyle w:val="Header"/>
            <w:jc w:val="right"/>
            <w:rPr>
              <w:b/>
            </w:rPr>
          </w:pPr>
          <w:r w:rsidRPr="00DD1A77">
            <w:rPr>
              <w:b/>
            </w:rPr>
            <w:t>Doc No:</w:t>
          </w:r>
        </w:p>
      </w:tc>
      <w:tc>
        <w:tcPr>
          <w:tcW w:w="1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EB5782" w14:textId="4538DCEA" w:rsidR="00AD607F" w:rsidRDefault="00AD607F" w:rsidP="00931E55">
          <w:pPr>
            <w:pStyle w:val="Header"/>
          </w:pPr>
          <w:r>
            <w:t>PDC02</w:t>
          </w:r>
        </w:p>
      </w:tc>
    </w:tr>
  </w:tbl>
  <w:p w14:paraId="036D8659" w14:textId="6984E7FB" w:rsidR="00AD607F" w:rsidRDefault="00AD6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4A57"/>
    <w:multiLevelType w:val="hybridMultilevel"/>
    <w:tmpl w:val="816EF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C6BE4"/>
    <w:multiLevelType w:val="hybridMultilevel"/>
    <w:tmpl w:val="DFEC01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258AA"/>
    <w:multiLevelType w:val="multilevel"/>
    <w:tmpl w:val="5166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43212"/>
    <w:multiLevelType w:val="hybridMultilevel"/>
    <w:tmpl w:val="C1C4F4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DC186D"/>
    <w:multiLevelType w:val="hybridMultilevel"/>
    <w:tmpl w:val="ACA6E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C2618"/>
    <w:multiLevelType w:val="hybridMultilevel"/>
    <w:tmpl w:val="A2BEC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271C5B"/>
    <w:multiLevelType w:val="hybridMultilevel"/>
    <w:tmpl w:val="0C42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9B426F"/>
    <w:multiLevelType w:val="hybridMultilevel"/>
    <w:tmpl w:val="206E72F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2"/>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7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30B"/>
    <w:rsid w:val="000239DC"/>
    <w:rsid w:val="00041144"/>
    <w:rsid w:val="000429DC"/>
    <w:rsid w:val="00065EE1"/>
    <w:rsid w:val="000704F7"/>
    <w:rsid w:val="00080505"/>
    <w:rsid w:val="00087BEF"/>
    <w:rsid w:val="00092C19"/>
    <w:rsid w:val="000B7802"/>
    <w:rsid w:val="000C3531"/>
    <w:rsid w:val="000F64EC"/>
    <w:rsid w:val="00115BA3"/>
    <w:rsid w:val="001632C8"/>
    <w:rsid w:val="00171EFA"/>
    <w:rsid w:val="00181E3D"/>
    <w:rsid w:val="00195EF4"/>
    <w:rsid w:val="001A6DE6"/>
    <w:rsid w:val="001C0AC3"/>
    <w:rsid w:val="001D0177"/>
    <w:rsid w:val="001F2CE6"/>
    <w:rsid w:val="001F6D30"/>
    <w:rsid w:val="002009CE"/>
    <w:rsid w:val="00203414"/>
    <w:rsid w:val="00210CAA"/>
    <w:rsid w:val="0021556A"/>
    <w:rsid w:val="002276CF"/>
    <w:rsid w:val="002C4346"/>
    <w:rsid w:val="00304DD3"/>
    <w:rsid w:val="00316CFF"/>
    <w:rsid w:val="0033032B"/>
    <w:rsid w:val="00343A1D"/>
    <w:rsid w:val="0037283A"/>
    <w:rsid w:val="00383406"/>
    <w:rsid w:val="003A2846"/>
    <w:rsid w:val="003D2574"/>
    <w:rsid w:val="004132DC"/>
    <w:rsid w:val="00420CD6"/>
    <w:rsid w:val="00441885"/>
    <w:rsid w:val="004B1F88"/>
    <w:rsid w:val="004B7478"/>
    <w:rsid w:val="004D378E"/>
    <w:rsid w:val="004F6EDA"/>
    <w:rsid w:val="00507289"/>
    <w:rsid w:val="00524AC3"/>
    <w:rsid w:val="00532089"/>
    <w:rsid w:val="00544DED"/>
    <w:rsid w:val="00555939"/>
    <w:rsid w:val="005711A5"/>
    <w:rsid w:val="005B4277"/>
    <w:rsid w:val="005C7369"/>
    <w:rsid w:val="005F2B3F"/>
    <w:rsid w:val="00610617"/>
    <w:rsid w:val="00613902"/>
    <w:rsid w:val="00631516"/>
    <w:rsid w:val="00647B63"/>
    <w:rsid w:val="00647EB5"/>
    <w:rsid w:val="00650059"/>
    <w:rsid w:val="0065242D"/>
    <w:rsid w:val="00680534"/>
    <w:rsid w:val="00686C84"/>
    <w:rsid w:val="00692075"/>
    <w:rsid w:val="006A1ADD"/>
    <w:rsid w:val="006D2A9D"/>
    <w:rsid w:val="00717303"/>
    <w:rsid w:val="00762245"/>
    <w:rsid w:val="00796520"/>
    <w:rsid w:val="007E009E"/>
    <w:rsid w:val="007F57BD"/>
    <w:rsid w:val="00803FEE"/>
    <w:rsid w:val="00810A95"/>
    <w:rsid w:val="00827932"/>
    <w:rsid w:val="00836C3C"/>
    <w:rsid w:val="0085306D"/>
    <w:rsid w:val="00874873"/>
    <w:rsid w:val="008E0292"/>
    <w:rsid w:val="00916767"/>
    <w:rsid w:val="009176A0"/>
    <w:rsid w:val="00927566"/>
    <w:rsid w:val="00931E55"/>
    <w:rsid w:val="00932988"/>
    <w:rsid w:val="00976FE8"/>
    <w:rsid w:val="009A7438"/>
    <w:rsid w:val="009E0A03"/>
    <w:rsid w:val="00A20A13"/>
    <w:rsid w:val="00A42436"/>
    <w:rsid w:val="00A47DC8"/>
    <w:rsid w:val="00A62665"/>
    <w:rsid w:val="00A9530B"/>
    <w:rsid w:val="00AD607F"/>
    <w:rsid w:val="00B03F24"/>
    <w:rsid w:val="00B04802"/>
    <w:rsid w:val="00B1091E"/>
    <w:rsid w:val="00B11016"/>
    <w:rsid w:val="00B26566"/>
    <w:rsid w:val="00B34A96"/>
    <w:rsid w:val="00B36060"/>
    <w:rsid w:val="00B36E06"/>
    <w:rsid w:val="00B44BBA"/>
    <w:rsid w:val="00B461E4"/>
    <w:rsid w:val="00B56250"/>
    <w:rsid w:val="00B677B8"/>
    <w:rsid w:val="00B8379A"/>
    <w:rsid w:val="00B9085A"/>
    <w:rsid w:val="00BA1C82"/>
    <w:rsid w:val="00C032DD"/>
    <w:rsid w:val="00C10196"/>
    <w:rsid w:val="00C41DC6"/>
    <w:rsid w:val="00C82187"/>
    <w:rsid w:val="00C9205E"/>
    <w:rsid w:val="00CB4EB7"/>
    <w:rsid w:val="00D668D3"/>
    <w:rsid w:val="00DB3FFB"/>
    <w:rsid w:val="00DD1A77"/>
    <w:rsid w:val="00E10630"/>
    <w:rsid w:val="00E225C8"/>
    <w:rsid w:val="00E63162"/>
    <w:rsid w:val="00E9103E"/>
    <w:rsid w:val="00EB0D3C"/>
    <w:rsid w:val="00EB3CD0"/>
    <w:rsid w:val="00ED23DE"/>
    <w:rsid w:val="00EE043A"/>
    <w:rsid w:val="00EE7D1A"/>
    <w:rsid w:val="00F06041"/>
    <w:rsid w:val="00F61347"/>
    <w:rsid w:val="00F675B3"/>
    <w:rsid w:val="00F769C9"/>
    <w:rsid w:val="00F9204A"/>
    <w:rsid w:val="00FC37AC"/>
    <w:rsid w:val="00FD193E"/>
    <w:rsid w:val="00FE3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11251"/>
  <w15:chartTrackingRefBased/>
  <w15:docId w15:val="{AF7BE02E-BBF2-41E0-92A1-4A97881D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91E"/>
    <w:pPr>
      <w:keepNext/>
      <w:keepLines/>
      <w:spacing w:before="40"/>
      <w:outlineLvl w:val="0"/>
    </w:pPr>
    <w:rPr>
      <w:rFonts w:asciiTheme="majorHAnsi" w:eastAsiaTheme="majorEastAsia" w:hAnsiTheme="majorHAnsi" w:cstheme="majorBidi"/>
      <w:b/>
      <w:caps/>
      <w:sz w:val="28"/>
      <w:szCs w:val="32"/>
    </w:rPr>
  </w:style>
  <w:style w:type="paragraph" w:styleId="Heading2">
    <w:name w:val="heading 2"/>
    <w:basedOn w:val="Normal"/>
    <w:next w:val="Normal"/>
    <w:link w:val="Heading2Char"/>
    <w:uiPriority w:val="9"/>
    <w:unhideWhenUsed/>
    <w:qFormat/>
    <w:rsid w:val="00B1091E"/>
    <w:pPr>
      <w:keepNext/>
      <w:keepLines/>
      <w:spacing w:before="40"/>
      <w:outlineLvl w:val="1"/>
    </w:pPr>
    <w:rPr>
      <w:rFonts w:asciiTheme="majorHAnsi" w:eastAsiaTheme="majorEastAsia" w:hAnsiTheme="majorHAnsi" w:cstheme="majorBidi"/>
      <w:b/>
      <w:caps/>
      <w:szCs w:val="26"/>
    </w:rPr>
  </w:style>
  <w:style w:type="paragraph" w:styleId="Heading3">
    <w:name w:val="heading 3"/>
    <w:basedOn w:val="Normal"/>
    <w:next w:val="Normal"/>
    <w:link w:val="Heading3Char"/>
    <w:uiPriority w:val="9"/>
    <w:unhideWhenUsed/>
    <w:qFormat/>
    <w:rsid w:val="005C7369"/>
    <w:pPr>
      <w:keepNext/>
      <w:keepLines/>
      <w:spacing w:before="40" w:after="0"/>
      <w:outlineLvl w:val="2"/>
    </w:pPr>
    <w:rPr>
      <w:rFonts w:asciiTheme="majorHAnsi" w:eastAsiaTheme="majorEastAsia" w:hAnsiTheme="majorHAnsi" w:cstheme="majorBidi"/>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3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30B"/>
  </w:style>
  <w:style w:type="paragraph" w:styleId="Footer">
    <w:name w:val="footer"/>
    <w:basedOn w:val="Normal"/>
    <w:link w:val="FooterChar"/>
    <w:uiPriority w:val="99"/>
    <w:unhideWhenUsed/>
    <w:rsid w:val="00A953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30B"/>
  </w:style>
  <w:style w:type="table" w:styleId="TableGrid">
    <w:name w:val="Table Grid"/>
    <w:basedOn w:val="TableNormal"/>
    <w:uiPriority w:val="39"/>
    <w:rsid w:val="00A95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er"/>
    <w:next w:val="Normal"/>
    <w:link w:val="TitleChar"/>
    <w:uiPriority w:val="10"/>
    <w:qFormat/>
    <w:rsid w:val="00976FE8"/>
    <w:pPr>
      <w:jc w:val="center"/>
    </w:pPr>
    <w:rPr>
      <w:b/>
      <w:caps/>
      <w:sz w:val="30"/>
      <w:szCs w:val="30"/>
    </w:rPr>
  </w:style>
  <w:style w:type="character" w:customStyle="1" w:styleId="TitleChar">
    <w:name w:val="Title Char"/>
    <w:basedOn w:val="DefaultParagraphFont"/>
    <w:link w:val="Title"/>
    <w:uiPriority w:val="10"/>
    <w:rsid w:val="00976FE8"/>
    <w:rPr>
      <w:b/>
      <w:caps/>
      <w:sz w:val="30"/>
      <w:szCs w:val="30"/>
    </w:rPr>
  </w:style>
  <w:style w:type="character" w:styleId="PlaceholderText">
    <w:name w:val="Placeholder Text"/>
    <w:basedOn w:val="DefaultParagraphFont"/>
    <w:uiPriority w:val="99"/>
    <w:semiHidden/>
    <w:rsid w:val="00650059"/>
    <w:rPr>
      <w:color w:val="808080"/>
    </w:rPr>
  </w:style>
  <w:style w:type="character" w:customStyle="1" w:styleId="Heading2Char">
    <w:name w:val="Heading 2 Char"/>
    <w:basedOn w:val="DefaultParagraphFont"/>
    <w:link w:val="Heading2"/>
    <w:uiPriority w:val="9"/>
    <w:rsid w:val="00B1091E"/>
    <w:rPr>
      <w:rFonts w:asciiTheme="majorHAnsi" w:eastAsiaTheme="majorEastAsia" w:hAnsiTheme="majorHAnsi" w:cstheme="majorBidi"/>
      <w:b/>
      <w:caps/>
      <w:szCs w:val="26"/>
    </w:rPr>
  </w:style>
  <w:style w:type="character" w:customStyle="1" w:styleId="Heading3Char">
    <w:name w:val="Heading 3 Char"/>
    <w:basedOn w:val="DefaultParagraphFont"/>
    <w:link w:val="Heading3"/>
    <w:uiPriority w:val="9"/>
    <w:rsid w:val="005C7369"/>
    <w:rPr>
      <w:rFonts w:asciiTheme="majorHAnsi" w:eastAsiaTheme="majorEastAsia" w:hAnsiTheme="majorHAnsi" w:cstheme="majorBidi"/>
      <w:caps/>
      <w:szCs w:val="24"/>
    </w:rPr>
  </w:style>
  <w:style w:type="character" w:customStyle="1" w:styleId="Heading1Char">
    <w:name w:val="Heading 1 Char"/>
    <w:basedOn w:val="DefaultParagraphFont"/>
    <w:link w:val="Heading1"/>
    <w:uiPriority w:val="9"/>
    <w:rsid w:val="00B1091E"/>
    <w:rPr>
      <w:rFonts w:asciiTheme="majorHAnsi" w:eastAsiaTheme="majorEastAsia" w:hAnsiTheme="majorHAnsi" w:cstheme="majorBidi"/>
      <w:b/>
      <w:caps/>
      <w:sz w:val="28"/>
      <w:szCs w:val="32"/>
    </w:rPr>
  </w:style>
  <w:style w:type="paragraph" w:styleId="TOCHeading">
    <w:name w:val="TOC Heading"/>
    <w:basedOn w:val="Heading1"/>
    <w:next w:val="Normal"/>
    <w:uiPriority w:val="39"/>
    <w:unhideWhenUsed/>
    <w:qFormat/>
    <w:rsid w:val="00B1091E"/>
    <w:pPr>
      <w:outlineLvl w:val="9"/>
    </w:pPr>
    <w:rPr>
      <w:lang w:val="en-US"/>
    </w:rPr>
  </w:style>
  <w:style w:type="paragraph" w:styleId="ListParagraph">
    <w:name w:val="List Paragraph"/>
    <w:basedOn w:val="Normal"/>
    <w:uiPriority w:val="34"/>
    <w:qFormat/>
    <w:rsid w:val="00B1091E"/>
    <w:pPr>
      <w:ind w:left="720"/>
      <w:contextualSpacing/>
    </w:pPr>
  </w:style>
  <w:style w:type="paragraph" w:styleId="FootnoteText">
    <w:name w:val="footnote text"/>
    <w:basedOn w:val="Normal"/>
    <w:link w:val="FootnoteTextChar"/>
    <w:uiPriority w:val="99"/>
    <w:semiHidden/>
    <w:unhideWhenUsed/>
    <w:rsid w:val="00B109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091E"/>
    <w:rPr>
      <w:sz w:val="20"/>
      <w:szCs w:val="20"/>
    </w:rPr>
  </w:style>
  <w:style w:type="character" w:styleId="FootnoteReference">
    <w:name w:val="footnote reference"/>
    <w:basedOn w:val="DefaultParagraphFont"/>
    <w:uiPriority w:val="99"/>
    <w:semiHidden/>
    <w:unhideWhenUsed/>
    <w:rsid w:val="00B1091E"/>
    <w:rPr>
      <w:vertAlign w:val="superscript"/>
    </w:rPr>
  </w:style>
  <w:style w:type="character" w:styleId="Hyperlink">
    <w:name w:val="Hyperlink"/>
    <w:basedOn w:val="DefaultParagraphFont"/>
    <w:uiPriority w:val="99"/>
    <w:unhideWhenUsed/>
    <w:rsid w:val="00B1091E"/>
    <w:rPr>
      <w:color w:val="0563C1" w:themeColor="hyperlink"/>
      <w:u w:val="single"/>
    </w:rPr>
  </w:style>
  <w:style w:type="paragraph" w:customStyle="1" w:styleId="xmsonormal">
    <w:name w:val="x_msonormal"/>
    <w:basedOn w:val="Normal"/>
    <w:rsid w:val="00041144"/>
    <w:pPr>
      <w:spacing w:after="0" w:line="240" w:lineRule="auto"/>
    </w:pPr>
    <w:rPr>
      <w:rFonts w:ascii="Calibri" w:hAnsi="Calibri" w:cs="Calibri"/>
      <w:lang w:eastAsia="en-GB"/>
    </w:rPr>
  </w:style>
  <w:style w:type="paragraph" w:styleId="TOC1">
    <w:name w:val="toc 1"/>
    <w:basedOn w:val="Normal"/>
    <w:next w:val="Normal"/>
    <w:autoRedefine/>
    <w:uiPriority w:val="39"/>
    <w:unhideWhenUsed/>
    <w:rsid w:val="007E009E"/>
    <w:pPr>
      <w:spacing w:after="100"/>
    </w:pPr>
  </w:style>
  <w:style w:type="paragraph" w:styleId="TOC2">
    <w:name w:val="toc 2"/>
    <w:basedOn w:val="Normal"/>
    <w:next w:val="Normal"/>
    <w:autoRedefine/>
    <w:uiPriority w:val="39"/>
    <w:unhideWhenUsed/>
    <w:rsid w:val="007E009E"/>
    <w:pPr>
      <w:spacing w:after="100"/>
      <w:ind w:left="220"/>
    </w:pPr>
  </w:style>
  <w:style w:type="paragraph" w:styleId="BalloonText">
    <w:name w:val="Balloon Text"/>
    <w:basedOn w:val="Normal"/>
    <w:link w:val="BalloonTextChar"/>
    <w:uiPriority w:val="99"/>
    <w:semiHidden/>
    <w:unhideWhenUsed/>
    <w:rsid w:val="000B78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802"/>
    <w:rPr>
      <w:rFonts w:ascii="Segoe UI" w:hAnsi="Segoe UI" w:cs="Segoe UI"/>
      <w:sz w:val="18"/>
      <w:szCs w:val="18"/>
    </w:rPr>
  </w:style>
  <w:style w:type="paragraph" w:styleId="TOC3">
    <w:name w:val="toc 3"/>
    <w:basedOn w:val="Normal"/>
    <w:next w:val="Normal"/>
    <w:autoRedefine/>
    <w:uiPriority w:val="39"/>
    <w:unhideWhenUsed/>
    <w:rsid w:val="00532089"/>
    <w:pPr>
      <w:spacing w:after="100"/>
      <w:ind w:left="440"/>
    </w:pPr>
  </w:style>
  <w:style w:type="paragraph" w:customStyle="1" w:styleId="Tableheadingleft">
    <w:name w:val="Table heading left"/>
    <w:basedOn w:val="Normal"/>
    <w:qFormat/>
    <w:rsid w:val="00803FEE"/>
    <w:pPr>
      <w:spacing w:before="40" w:after="40" w:line="240" w:lineRule="atLeast"/>
      <w:ind w:left="57"/>
    </w:pPr>
    <w:rPr>
      <w:rFonts w:ascii="Tahoma" w:eastAsia="Calibri" w:hAnsi="Tahoma" w:cs="Times New Roman"/>
      <w:b/>
      <w:sz w:val="18"/>
      <w:lang w:val="en-AU"/>
    </w:rPr>
  </w:style>
  <w:style w:type="paragraph" w:styleId="NormalWeb">
    <w:name w:val="Normal (Web)"/>
    <w:basedOn w:val="Normal"/>
    <w:uiPriority w:val="99"/>
    <w:semiHidden/>
    <w:unhideWhenUsed/>
    <w:rsid w:val="00F920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668D3"/>
    <w:rPr>
      <w:sz w:val="16"/>
      <w:szCs w:val="16"/>
    </w:rPr>
  </w:style>
  <w:style w:type="paragraph" w:styleId="CommentText">
    <w:name w:val="annotation text"/>
    <w:basedOn w:val="Normal"/>
    <w:link w:val="CommentTextChar"/>
    <w:uiPriority w:val="99"/>
    <w:semiHidden/>
    <w:unhideWhenUsed/>
    <w:rsid w:val="00D668D3"/>
    <w:pPr>
      <w:spacing w:line="240" w:lineRule="auto"/>
    </w:pPr>
    <w:rPr>
      <w:sz w:val="20"/>
      <w:szCs w:val="20"/>
    </w:rPr>
  </w:style>
  <w:style w:type="character" w:customStyle="1" w:styleId="CommentTextChar">
    <w:name w:val="Comment Text Char"/>
    <w:basedOn w:val="DefaultParagraphFont"/>
    <w:link w:val="CommentText"/>
    <w:uiPriority w:val="99"/>
    <w:semiHidden/>
    <w:rsid w:val="00D668D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945903">
      <w:bodyDiv w:val="1"/>
      <w:marLeft w:val="0"/>
      <w:marRight w:val="0"/>
      <w:marTop w:val="0"/>
      <w:marBottom w:val="0"/>
      <w:divBdr>
        <w:top w:val="none" w:sz="0" w:space="0" w:color="auto"/>
        <w:left w:val="none" w:sz="0" w:space="0" w:color="auto"/>
        <w:bottom w:val="none" w:sz="0" w:space="0" w:color="auto"/>
        <w:right w:val="none" w:sz="0" w:space="0" w:color="auto"/>
      </w:divBdr>
    </w:div>
    <w:div w:id="996805719">
      <w:bodyDiv w:val="1"/>
      <w:marLeft w:val="0"/>
      <w:marRight w:val="0"/>
      <w:marTop w:val="0"/>
      <w:marBottom w:val="0"/>
      <w:divBdr>
        <w:top w:val="none" w:sz="0" w:space="0" w:color="auto"/>
        <w:left w:val="none" w:sz="0" w:space="0" w:color="auto"/>
        <w:bottom w:val="none" w:sz="0" w:space="0" w:color="auto"/>
        <w:right w:val="none" w:sz="0" w:space="0" w:color="auto"/>
      </w:divBdr>
    </w:div>
    <w:div w:id="114939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EEE2B-F60F-40B9-B493-2691754F5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9667</TotalTime>
  <Pages>11</Pages>
  <Words>3344</Words>
  <Characters>19063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Smith</dc:creator>
  <cp:keywords/>
  <dc:description/>
  <cp:lastModifiedBy>Ben Smith</cp:lastModifiedBy>
  <cp:revision>36</cp:revision>
  <cp:lastPrinted>2019-05-30T17:54:00Z</cp:lastPrinted>
  <dcterms:created xsi:type="dcterms:W3CDTF">2019-06-11T14:15:00Z</dcterms:created>
  <dcterms:modified xsi:type="dcterms:W3CDTF">2019-08-01T06:52:00Z</dcterms:modified>
</cp:coreProperties>
</file>